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center"/>
        <w:rPr>
          <w:rFonts w:hint="eastAsia"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丹阳农商银行2026年不良贷款委外催收项目供应商征集公告</w:t>
      </w: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各潜在供应商：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江苏丹阳农村商业银行股份有限公司就“不良贷款委外催收”项目拟进行邀请招标，现征集符合条件的潜在供应商，请贵单位积极报名。</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一、招标项目基本情况：</w:t>
      </w:r>
    </w:p>
    <w:p>
      <w:pPr>
        <w:keepNext w:val="0"/>
        <w:keepLines w:val="0"/>
        <w:pageBreakBefore w:val="0"/>
        <w:widowControl/>
        <w:kinsoku/>
        <w:wordWrap/>
        <w:overflowPunct/>
        <w:topLinePunct w:val="0"/>
        <w:autoSpaceDE/>
        <w:autoSpaceDN/>
        <w:bidi w:val="0"/>
        <w:adjustRightInd w:val="0"/>
        <w:snapToGrid w:val="0"/>
        <w:spacing w:line="520" w:lineRule="exact"/>
        <w:ind w:left="298" w:leftChars="142" w:firstLine="300" w:firstLineChars="100"/>
        <w:textAlignment w:val="auto"/>
        <w:rPr>
          <w:rFonts w:hint="eastAsia" w:ascii="仿宋_GB2312" w:hAnsi="仿宋_GB2312" w:eastAsia="仿宋_GB2312" w:cs="仿宋_GB2312"/>
          <w:spacing w:val="-10"/>
          <w:sz w:val="30"/>
          <w:szCs w:val="30"/>
          <w:highlight w:val="green"/>
        </w:rPr>
      </w:pPr>
      <w:r>
        <w:rPr>
          <w:rFonts w:hint="eastAsia" w:ascii="仿宋_GB2312" w:hAnsi="仿宋_GB2312" w:eastAsia="仿宋_GB2312" w:cs="仿宋_GB2312"/>
          <w:kern w:val="0"/>
          <w:sz w:val="30"/>
          <w:szCs w:val="30"/>
        </w:rPr>
        <w:t>1、项目名称：</w:t>
      </w:r>
      <w:r>
        <w:rPr>
          <w:rFonts w:hint="eastAsia" w:ascii="仿宋_GB2312" w:hAnsi="仿宋_GB2312" w:eastAsia="仿宋_GB2312" w:cs="仿宋_GB2312"/>
          <w:sz w:val="30"/>
          <w:szCs w:val="30"/>
        </w:rPr>
        <w:t>丹阳农商银行</w:t>
      </w:r>
      <w:r>
        <w:rPr>
          <w:rFonts w:hint="eastAsia" w:ascii="仿宋_GB2312" w:hAnsi="仿宋_GB2312" w:eastAsia="仿宋_GB2312" w:cs="仿宋_GB2312"/>
          <w:sz w:val="30"/>
          <w:szCs w:val="30"/>
          <w:lang w:val="en-US" w:eastAsia="zh-CN"/>
        </w:rPr>
        <w:t>2026年</w:t>
      </w:r>
      <w:r>
        <w:rPr>
          <w:rFonts w:hint="eastAsia" w:ascii="仿宋_GB2312" w:hAnsi="仿宋_GB2312" w:eastAsia="仿宋_GB2312" w:cs="仿宋_GB2312"/>
          <w:sz w:val="30"/>
          <w:szCs w:val="30"/>
        </w:rPr>
        <w:t>不良贷款委外催收项目</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kern w:val="0"/>
          <w:sz w:val="30"/>
          <w:szCs w:val="30"/>
        </w:rPr>
        <w:t>最高限价：</w:t>
      </w:r>
    </w:p>
    <w:tbl>
      <w:tblPr>
        <w:tblStyle w:val="9"/>
        <w:tblpPr w:leftFromText="180" w:rightFromText="180" w:vertAnchor="text" w:horzAnchor="page" w:tblpX="1794" w:tblpY="44"/>
        <w:tblOverlap w:val="never"/>
        <w:tblW w:w="8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84"/>
        <w:gridCol w:w="3984"/>
        <w:gridCol w:w="1664"/>
        <w:gridCol w:w="1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480" w:type="dxa"/>
            <w:gridSpan w:val="4"/>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委外催收服务费限定指导价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贷款类型</w:t>
            </w: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内容</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服务费标准（按收回贷款本金、诉讼费金额）</w:t>
            </w:r>
          </w:p>
        </w:tc>
        <w:tc>
          <w:tcPr>
            <w:tcW w:w="1448"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服务费标准（按收回利息金额）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抵押类</w:t>
            </w: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逾期10年以上（2015年及之前）的贷款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20%</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逾期5-10年（2016年-2020年）的贷款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15%</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eastAsia" w:ascii="Tahoma" w:hAnsi="Tahoma" w:eastAsia="Tahoma" w:cs="Tahoma"/>
                <w:i w:val="0"/>
                <w:iCs w:val="0"/>
                <w:color w:val="000000"/>
                <w:kern w:val="0"/>
                <w:sz w:val="20"/>
                <w:szCs w:val="20"/>
                <w:u w:val="none"/>
                <w:lang w:val="en-US" w:eastAsia="zh-CN" w:bidi="ar"/>
              </w:rPr>
              <w:t>22</w:t>
            </w:r>
            <w:r>
              <w:rPr>
                <w:rFonts w:hint="default" w:ascii="Tahoma" w:hAnsi="Tahoma" w:eastAsia="Tahoma" w:cs="Tahoma"/>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逾期5年以内（2021年及之后）的贷款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10%</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涉及抵押物处置变现的</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4%</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保证类</w:t>
            </w: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逾期10年以上（2015年及之前）的贷款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21%</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3</w:t>
            </w:r>
            <w:r>
              <w:rPr>
                <w:rFonts w:hint="eastAsia" w:ascii="Tahoma" w:hAnsi="Tahoma" w:eastAsia="Tahoma" w:cs="Tahoma"/>
                <w:i w:val="0"/>
                <w:iCs w:val="0"/>
                <w:color w:val="000000"/>
                <w:kern w:val="0"/>
                <w:sz w:val="20"/>
                <w:szCs w:val="20"/>
                <w:u w:val="none"/>
                <w:lang w:val="en-US" w:eastAsia="zh-CN" w:bidi="ar"/>
              </w:rPr>
              <w:t>1</w:t>
            </w:r>
            <w:r>
              <w:rPr>
                <w:rFonts w:hint="default" w:ascii="Tahoma" w:hAnsi="Tahoma" w:eastAsia="Tahoma" w:cs="Tahoma"/>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逾期5-10年（2016年-2020年）的贷款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16%</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逾期5年以内（2021年及之后）的贷款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11%</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1</w:t>
            </w:r>
            <w:r>
              <w:rPr>
                <w:rFonts w:hint="eastAsia" w:ascii="Tahoma" w:hAnsi="Tahoma" w:eastAsia="Tahoma" w:cs="Tahoma"/>
                <w:i w:val="0"/>
                <w:iCs w:val="0"/>
                <w:color w:val="000000"/>
                <w:kern w:val="0"/>
                <w:sz w:val="20"/>
                <w:szCs w:val="20"/>
                <w:u w:val="none"/>
                <w:lang w:val="en-US" w:eastAsia="zh-CN" w:bidi="ar"/>
              </w:rPr>
              <w:t>6</w:t>
            </w:r>
            <w:r>
              <w:rPr>
                <w:rFonts w:hint="default" w:ascii="Tahoma" w:hAnsi="Tahoma" w:eastAsia="Tahoma" w:cs="Tahoma"/>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信用类</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（含信用卡）</w:t>
            </w: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逾期10年以上（2015年及之前）的贷款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22%</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逾期5-10年（2016年-2020年）的贷款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18%</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13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3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逾期5年以内（2021年及之后）的贷款</w:t>
            </w:r>
          </w:p>
        </w:tc>
        <w:tc>
          <w:tcPr>
            <w:tcW w:w="166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Tahoma" w:hAnsi="Tahoma" w:eastAsia="Tahoma" w:cs="Tahoma"/>
                <w:i w:val="0"/>
                <w:iCs w:val="0"/>
                <w:color w:val="000000"/>
                <w:kern w:val="0"/>
                <w:sz w:val="20"/>
                <w:szCs w:val="20"/>
                <w:u w:val="none"/>
                <w:lang w:val="en-US" w:eastAsia="zh-CN" w:bidi="ar"/>
              </w:rPr>
            </w:pPr>
            <w:r>
              <w:rPr>
                <w:rFonts w:hint="eastAsia" w:ascii="Tahoma" w:hAnsi="Tahoma" w:eastAsia="Tahoma" w:cs="Tahoma"/>
                <w:i w:val="0"/>
                <w:iCs w:val="0"/>
                <w:color w:val="000000"/>
                <w:kern w:val="0"/>
                <w:sz w:val="20"/>
                <w:szCs w:val="20"/>
                <w:u w:val="none"/>
                <w:lang w:val="en-US" w:eastAsia="zh-CN" w:bidi="ar"/>
              </w:rPr>
              <w:t>12%</w:t>
            </w:r>
          </w:p>
        </w:tc>
        <w:tc>
          <w:tcPr>
            <w:tcW w:w="1448"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default" w:ascii="Tahoma" w:hAnsi="Tahoma" w:eastAsia="Tahoma" w:cs="Tahoma"/>
                <w:i w:val="0"/>
                <w:iCs w:val="0"/>
                <w:color w:val="000000"/>
                <w:sz w:val="20"/>
                <w:szCs w:val="20"/>
                <w:u w:val="none"/>
              </w:rPr>
            </w:pPr>
            <w:r>
              <w:rPr>
                <w:rFonts w:hint="default" w:ascii="Tahoma" w:hAnsi="Tahoma" w:eastAsia="Tahoma" w:cs="Tahoma"/>
                <w:i w:val="0"/>
                <w:iCs w:val="0"/>
                <w:color w:val="000000"/>
                <w:kern w:val="0"/>
                <w:sz w:val="20"/>
                <w:szCs w:val="20"/>
                <w:u w:val="none"/>
                <w:lang w:val="en-US" w:eastAsia="zh-CN" w:bidi="ar"/>
              </w:rPr>
              <w:t>18%</w:t>
            </w:r>
          </w:p>
        </w:tc>
      </w:tr>
    </w:tbl>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3、招标内容：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（1）招标人计划开展丹阳农商银行不良贷款委外催收项目集中采购；</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（2）项目采用差额入围，即中标人数量须小于有效投标人的数量，招标人保留对最终入围供应商数量的决定权；有效投标人指的是通过本项目资格性和符合性审查的投标人。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（3）投标人须对投标内容进行报价。</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（4）招标内容：</w:t>
      </w:r>
    </w:p>
    <w:tbl>
      <w:tblPr>
        <w:tblStyle w:val="9"/>
        <w:tblW w:w="8120" w:type="dxa"/>
        <w:tblInd w:w="100" w:type="dxa"/>
        <w:tblLayout w:type="fixed"/>
        <w:tblCellMar>
          <w:top w:w="0" w:type="dxa"/>
          <w:left w:w="0" w:type="dxa"/>
          <w:bottom w:w="0" w:type="dxa"/>
          <w:right w:w="0" w:type="dxa"/>
        </w:tblCellMar>
      </w:tblPr>
      <w:tblGrid>
        <w:gridCol w:w="5034"/>
        <w:gridCol w:w="3086"/>
      </w:tblGrid>
      <w:tr>
        <w:tblPrEx>
          <w:tblCellMar>
            <w:top w:w="0" w:type="dxa"/>
            <w:left w:w="0" w:type="dxa"/>
            <w:bottom w:w="0" w:type="dxa"/>
            <w:right w:w="0" w:type="dxa"/>
          </w:tblCellMar>
        </w:tblPrEx>
        <w:trPr>
          <w:trHeight w:val="400" w:hRule="atLeast"/>
        </w:trPr>
        <w:tc>
          <w:tcPr>
            <w:tcW w:w="50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设置内容</w:t>
            </w:r>
          </w:p>
        </w:tc>
        <w:tc>
          <w:tcPr>
            <w:tcW w:w="3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拟中标人数量</w:t>
            </w:r>
          </w:p>
        </w:tc>
      </w:tr>
      <w:tr>
        <w:tblPrEx>
          <w:tblCellMar>
            <w:top w:w="0" w:type="dxa"/>
            <w:left w:w="0" w:type="dxa"/>
            <w:bottom w:w="0" w:type="dxa"/>
            <w:right w:w="0" w:type="dxa"/>
          </w:tblCellMar>
        </w:tblPrEx>
        <w:trPr>
          <w:trHeight w:val="400" w:hRule="atLeast"/>
        </w:trPr>
        <w:tc>
          <w:tcPr>
            <w:tcW w:w="50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委托第三方机构催收不良贷款</w:t>
            </w:r>
          </w:p>
        </w:tc>
        <w:tc>
          <w:tcPr>
            <w:tcW w:w="3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家</w:t>
            </w:r>
          </w:p>
        </w:tc>
      </w:tr>
    </w:tbl>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4、中标人主要对招标人所委托清收名单中所列不良贷款进行催收，以具体委案清单为准。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服务时间：本项目采购有效期叁年，合同一年一签，合同到期满足招标人考核指标后可续签合同，如中途投标人不再符合履约条件的，招标人可招标人可终止合同，并根据自身实际情况由其他投标人按排名由高到低进行递补。</w:t>
      </w:r>
    </w:p>
    <w:p>
      <w:pPr>
        <w:pStyle w:val="6"/>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6、结算方式：按季结算（服务费计算公式为：相应档位收回金额*指导价*折扣率）(具体以合同签订为准）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val="en-US" w:eastAsia="zh-CN"/>
        </w:rPr>
        <w:t>7、本项目采用资格后审法。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color w:val="000000"/>
          <w:kern w:val="0"/>
          <w:sz w:val="30"/>
          <w:szCs w:val="30"/>
        </w:rPr>
        <w:t>二、</w:t>
      </w:r>
      <w:r>
        <w:rPr>
          <w:rFonts w:hint="eastAsia" w:ascii="仿宋_GB2312" w:hAnsi="仿宋_GB2312" w:eastAsia="仿宋_GB2312" w:cs="仿宋_GB2312"/>
          <w:sz w:val="30"/>
          <w:szCs w:val="30"/>
        </w:rPr>
        <w:t>投标人基本资格要求</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lang w:eastAsia="zh-CN"/>
        </w:rPr>
      </w:pPr>
      <w:r>
        <w:rPr>
          <w:rFonts w:hint="eastAsia" w:ascii="仿宋_GB2312" w:hAnsi="仿宋_GB2312" w:eastAsia="仿宋_GB2312" w:cs="仿宋_GB2312"/>
          <w:bCs/>
          <w:snapToGrid w:val="0"/>
          <w:sz w:val="30"/>
          <w:szCs w:val="30"/>
          <w:lang w:val="en-US" w:eastAsia="zh-CN"/>
        </w:rPr>
        <w:t>1、</w:t>
      </w:r>
      <w:r>
        <w:rPr>
          <w:rFonts w:hint="eastAsia" w:ascii="仿宋_GB2312" w:hAnsi="仿宋_GB2312" w:eastAsia="仿宋_GB2312" w:cs="仿宋_GB2312"/>
          <w:bCs/>
          <w:snapToGrid w:val="0"/>
          <w:sz w:val="30"/>
          <w:szCs w:val="30"/>
        </w:rPr>
        <w:t>在中国境内有效注册，具有独立承担民事责任的能力，遵守中国的法律、法规和条例</w:t>
      </w:r>
      <w:r>
        <w:rPr>
          <w:rFonts w:hint="eastAsia" w:ascii="仿宋_GB2312" w:hAnsi="仿宋_GB2312" w:eastAsia="仿宋_GB2312" w:cs="仿宋_GB2312"/>
          <w:bCs/>
          <w:snapToGrid w:val="0"/>
          <w:sz w:val="30"/>
          <w:szCs w:val="30"/>
          <w:lang w:eastAsia="zh-CN"/>
        </w:rPr>
        <w:t>。</w:t>
      </w:r>
    </w:p>
    <w:p>
      <w:pPr>
        <w:pStyle w:val="3"/>
        <w:spacing w:line="500" w:lineRule="exact"/>
        <w:ind w:firstLine="600" w:firstLineChars="200"/>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2、</w:t>
      </w:r>
      <w:r>
        <w:rPr>
          <w:rFonts w:hint="eastAsia" w:ascii="仿宋_GB2312" w:hAnsi="仿宋_GB2312" w:eastAsia="仿宋_GB2312" w:cs="仿宋_GB2312"/>
          <w:bCs/>
          <w:snapToGrid w:val="0"/>
          <w:color w:val="auto"/>
          <w:kern w:val="2"/>
          <w:sz w:val="30"/>
          <w:szCs w:val="30"/>
          <w:lang w:val="en-US" w:eastAsia="zh-CN" w:bidi="ar-SA"/>
        </w:rPr>
        <w:t>具有良好的商业信誉和健全的财务会计制度</w:t>
      </w:r>
      <w:r>
        <w:rPr>
          <w:rFonts w:hint="eastAsia" w:ascii="仿宋_GB2312" w:hAnsi="仿宋_GB2312" w:eastAsia="仿宋_GB2312" w:cs="仿宋_GB2312"/>
          <w:bCs/>
          <w:snapToGrid w:val="0"/>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sz w:val="30"/>
          <w:szCs w:val="30"/>
          <w:lang w:val="en-US" w:eastAsia="zh-CN"/>
        </w:rPr>
        <w:t>3、</w:t>
      </w:r>
      <w:r>
        <w:rPr>
          <w:rFonts w:hint="eastAsia" w:ascii="仿宋_GB2312" w:hAnsi="仿宋_GB2312" w:eastAsia="仿宋_GB2312" w:cs="仿宋_GB2312"/>
          <w:bCs/>
          <w:snapToGrid w:val="0"/>
          <w:color w:val="auto"/>
          <w:kern w:val="2"/>
          <w:sz w:val="30"/>
          <w:szCs w:val="30"/>
          <w:lang w:val="en-US" w:eastAsia="zh-CN" w:bidi="ar-SA"/>
        </w:rPr>
        <w:t>有依法缴纳税收和社会保障资金的良好记录；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4、</w:t>
      </w:r>
      <w:r>
        <w:rPr>
          <w:rFonts w:hint="eastAsia" w:ascii="仿宋_GB2312" w:hAnsi="仿宋_GB2312" w:eastAsia="仿宋_GB2312" w:cs="仿宋_GB2312"/>
          <w:bCs/>
          <w:snapToGrid w:val="0"/>
          <w:sz w:val="30"/>
          <w:szCs w:val="30"/>
        </w:rPr>
        <w:t>投标人最近三年没有被列入</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严重违法失信企业黑名单信息”；</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5、</w:t>
      </w:r>
      <w:r>
        <w:rPr>
          <w:rFonts w:hint="eastAsia" w:ascii="仿宋_GB2312" w:hAnsi="仿宋_GB2312" w:eastAsia="仿宋_GB2312" w:cs="仿宋_GB2312"/>
          <w:bCs/>
          <w:snapToGrid w:val="0"/>
          <w:sz w:val="30"/>
          <w:szCs w:val="30"/>
        </w:rPr>
        <w:t>未被“信用中国”网站（</w:t>
      </w:r>
      <w:r>
        <w:rPr>
          <w:rFonts w:hint="eastAsia" w:ascii="仿宋_GB2312" w:hAnsi="仿宋_GB2312" w:eastAsia="仿宋_GB2312" w:cs="仿宋_GB2312"/>
          <w:bCs/>
          <w:snapToGrid w:val="0"/>
          <w:sz w:val="30"/>
          <w:szCs w:val="30"/>
        </w:rPr>
        <w:fldChar w:fldCharType="begin"/>
      </w:r>
      <w:r>
        <w:rPr>
          <w:rFonts w:hint="eastAsia" w:ascii="仿宋_GB2312" w:hAnsi="仿宋_GB2312" w:eastAsia="仿宋_GB2312" w:cs="仿宋_GB2312"/>
          <w:bCs/>
          <w:snapToGrid w:val="0"/>
          <w:sz w:val="30"/>
          <w:szCs w:val="30"/>
        </w:rPr>
        <w:instrText xml:space="preserve"> HYPERLINK "http://www.creditchina.gov.cn/" \t "_blank" </w:instrText>
      </w:r>
      <w:r>
        <w:rPr>
          <w:rFonts w:hint="eastAsia" w:ascii="仿宋_GB2312" w:hAnsi="仿宋_GB2312" w:eastAsia="仿宋_GB2312" w:cs="仿宋_GB2312"/>
          <w:bCs/>
          <w:snapToGrid w:val="0"/>
          <w:sz w:val="30"/>
          <w:szCs w:val="30"/>
        </w:rPr>
        <w:fldChar w:fldCharType="separate"/>
      </w:r>
      <w:r>
        <w:rPr>
          <w:rFonts w:hint="eastAsia" w:ascii="仿宋_GB2312" w:hAnsi="仿宋_GB2312" w:eastAsia="仿宋_GB2312" w:cs="仿宋_GB2312"/>
          <w:bCs/>
          <w:snapToGrid w:val="0"/>
          <w:sz w:val="30"/>
          <w:szCs w:val="30"/>
        </w:rPr>
        <w:t>http://www.creditchina.gov.cn</w:t>
      </w:r>
      <w:r>
        <w:rPr>
          <w:rFonts w:hint="eastAsia" w:ascii="仿宋_GB2312" w:hAnsi="仿宋_GB2312" w:eastAsia="仿宋_GB2312" w:cs="仿宋_GB2312"/>
          <w:bCs/>
          <w:snapToGrid w:val="0"/>
          <w:sz w:val="30"/>
          <w:szCs w:val="30"/>
        </w:rPr>
        <w:fldChar w:fldCharType="end"/>
      </w:r>
      <w:r>
        <w:rPr>
          <w:rFonts w:hint="eastAsia" w:ascii="仿宋_GB2312" w:hAnsi="仿宋_GB2312" w:eastAsia="仿宋_GB2312" w:cs="仿宋_GB2312"/>
          <w:bCs/>
          <w:snapToGrid w:val="0"/>
          <w:sz w:val="30"/>
          <w:szCs w:val="30"/>
        </w:rPr>
        <w:t>）列入失信被执行人、重大税收违法案件当事人名单、政府采购严重为违法失信行为记录名单内；</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6、</w:t>
      </w:r>
      <w:r>
        <w:rPr>
          <w:rFonts w:hint="eastAsia" w:ascii="仿宋_GB2312" w:hAnsi="仿宋_GB2312" w:eastAsia="仿宋_GB2312" w:cs="仿宋_GB2312"/>
          <w:bCs/>
          <w:snapToGrid w:val="0"/>
          <w:sz w:val="30"/>
          <w:szCs w:val="30"/>
        </w:rPr>
        <w:t>近三年内无重大金融、财经违法行为，具有较强的风险控制，严格遵守国家有关的法律法规，内部管理规范、控制制度严密，具有严格的操作规程和保密措施；</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7、</w:t>
      </w:r>
      <w:r>
        <w:rPr>
          <w:rFonts w:hint="eastAsia" w:ascii="仿宋_GB2312" w:hAnsi="仿宋_GB2312" w:eastAsia="仿宋_GB2312" w:cs="仿宋_GB2312"/>
          <w:bCs/>
          <w:snapToGrid w:val="0"/>
          <w:sz w:val="30"/>
          <w:szCs w:val="30"/>
        </w:rPr>
        <w:t>未有被列入丹阳农商银行禁用或退库名单内；</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8、</w:t>
      </w:r>
      <w:r>
        <w:rPr>
          <w:rFonts w:hint="eastAsia" w:ascii="仿宋_GB2312" w:hAnsi="仿宋_GB2312" w:eastAsia="仿宋_GB2312" w:cs="仿宋_GB2312"/>
          <w:bCs/>
          <w:snapToGrid w:val="0"/>
          <w:sz w:val="30"/>
          <w:szCs w:val="30"/>
        </w:rPr>
        <w:t>法定代表人为同一人的两个及两个以上不同单位，母公司与全资子公司/由其控股的子公司，不得同时在本项目中投标；</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9、</w:t>
      </w:r>
      <w:r>
        <w:rPr>
          <w:rFonts w:hint="eastAsia" w:ascii="仿宋_GB2312" w:hAnsi="仿宋_GB2312" w:eastAsia="仿宋_GB2312" w:cs="仿宋_GB2312"/>
          <w:bCs/>
          <w:snapToGrid w:val="0"/>
          <w:sz w:val="30"/>
          <w:szCs w:val="30"/>
        </w:rPr>
        <w:t>不接受国家法律法规所禁止的投标行为；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val="en-US" w:eastAsia="zh-CN"/>
        </w:rPr>
        <w:t>10</w:t>
      </w:r>
      <w:bookmarkStart w:id="2" w:name="_GoBack"/>
      <w:bookmarkEnd w:id="2"/>
      <w:r>
        <w:rPr>
          <w:rFonts w:hint="eastAsia" w:ascii="仿宋_GB2312" w:hAnsi="仿宋_GB2312" w:eastAsia="仿宋_GB2312" w:cs="仿宋_GB2312"/>
          <w:bCs/>
          <w:snapToGrid w:val="0"/>
          <w:sz w:val="30"/>
          <w:szCs w:val="30"/>
          <w:lang w:val="en-US" w:eastAsia="zh-CN"/>
        </w:rPr>
        <w:t>、</w:t>
      </w:r>
      <w:r>
        <w:rPr>
          <w:rFonts w:hint="eastAsia" w:ascii="仿宋_GB2312" w:hAnsi="仿宋_GB2312" w:eastAsia="仿宋_GB2312" w:cs="仿宋_GB2312"/>
          <w:bCs/>
          <w:snapToGrid w:val="0"/>
          <w:sz w:val="30"/>
          <w:szCs w:val="30"/>
        </w:rPr>
        <w:t>本项目不接受联合体投标</w:t>
      </w:r>
      <w:r>
        <w:rPr>
          <w:rFonts w:hint="eastAsia" w:ascii="仿宋_GB2312" w:hAnsi="仿宋_GB2312" w:eastAsia="仿宋_GB2312" w:cs="仿宋_GB2312"/>
          <w:bCs/>
          <w:snapToGrid w:val="0"/>
          <w:color w:val="auto"/>
          <w:kern w:val="2"/>
          <w:sz w:val="30"/>
          <w:szCs w:val="30"/>
          <w:lang w:val="en-US" w:eastAsia="zh-CN" w:bidi="ar-SA"/>
        </w:rPr>
        <w:t>，不得转包</w:t>
      </w:r>
      <w:r>
        <w:rPr>
          <w:rFonts w:hint="eastAsia" w:ascii="仿宋_GB2312" w:hAnsi="仿宋_GB2312" w:eastAsia="仿宋_GB2312" w:cs="仿宋_GB2312"/>
          <w:bCs/>
          <w:snapToGrid w:val="0"/>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lang w:eastAsia="zh-CN"/>
        </w:rPr>
        <w:t>三</w:t>
      </w:r>
      <w:r>
        <w:rPr>
          <w:rFonts w:hint="eastAsia" w:ascii="仿宋_GB2312" w:hAnsi="仿宋_GB2312" w:eastAsia="仿宋_GB2312" w:cs="仿宋_GB2312"/>
          <w:sz w:val="30"/>
          <w:szCs w:val="30"/>
          <w:shd w:val="clear" w:color="auto" w:fill="FFFFFF"/>
        </w:rPr>
        <w:t>、项目具体要求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1、服务内容</w:t>
      </w:r>
      <w:bookmarkStart w:id="0" w:name="_Toc171129620"/>
      <w:bookmarkStart w:id="1" w:name="_Toc168825184"/>
      <w:r>
        <w:rPr>
          <w:rFonts w:hint="eastAsia" w:ascii="仿宋_GB2312" w:hAnsi="仿宋_GB2312" w:eastAsia="仿宋_GB2312" w:cs="仿宋_GB2312"/>
          <w:bCs/>
          <w:snapToGrid w:val="0"/>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（1）中标单位对招标人所委托清收名单中所列不良贷款进行催收，以具体委案清单为准。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（2）中标单位在催收过程中，可采取以下几项催收方式：</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1）电话催收；应有催收记录或录音。</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2）信函催收；需保留催收内容、寄送及回函的资料。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3）外访催收；应由两名或以上催收人员进行并对催收过程拍照或录音录像。</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4）司法催收；通过法律的手段进行催收，包括支付令、赋强公证、诉前调解、仲裁、诉讼、刑事追诉、申请强制执行或恢复执行等。</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5）其它合法且不损害邀标方利益的催收方式，如电子讯息、人工智能、互联网技术等方式。</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（3）招标人委托中标方的代理权限为一般代理，如出现以下特别事项须经招标人事先书面授权同意：</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1）不良债务人申请减免利息、以物抵债等；</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2）起诉，代为承认、放弃、变更诉讼请求，和解，参与、接受法院调解，提起反诉、撤诉、上诉，强制（恢复）执行等；</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3）其他可能导致招标人债权损失或权益变更的事项。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（4）双方应安排具体经办人员负责此项工作的对接，并应保持密切的联系。</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w:t>
      </w:r>
      <w:bookmarkEnd w:id="0"/>
      <w:bookmarkEnd w:id="1"/>
      <w:r>
        <w:rPr>
          <w:rFonts w:hint="eastAsia" w:ascii="仿宋_GB2312" w:hAnsi="仿宋_GB2312" w:eastAsia="仿宋_GB2312" w:cs="仿宋_GB2312"/>
          <w:bCs/>
          <w:snapToGrid w:val="0"/>
          <w:sz w:val="30"/>
          <w:szCs w:val="30"/>
        </w:rPr>
        <w:t>项目实施要求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1</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应为本项工作配备合格的、足够的经办人员，并按照招标人操作流程及相关规章制度的要求制订相应的培训计划、操作规程、重要注意事项。应在公司内部制定完善的信息资料保密措施，如要求员工在签署劳动合同时签署保密协议、对客户资料信息库访问的权限设定等。</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2</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中标单位必须保证所采取的催收手段合法合规，不得以违法及不道德的方式催收：</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1）未经债务人同意，严禁在晚22:00后至早8:00前及国家法定节假日进行电话、外访催收；</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2）采用电话催收时，主动通话的频密程度应控制在合理及必需的范围内，单日拨打次数不得超过5次，严禁使用“呼死你”等方式频繁致电催收；</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3）对服务过程中获悉的债务人资料严格保密，切实保护债权人、债务人及相关当事人隐私，不得非法获取个人信息；</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4）严禁对与债务无关的第三人进行催收或骚扰，联系第三人不得透露债务人的详细欠款信息和欠款金额，可询问债务人的联系信息，或请其代为转告债务人与银行联系。当第三人明确愿意为债务人偿还欠款时，可视情况提供还款所需必要信息；当第三人明确要求不得联系时，经确认其为无关第三人，则催收人员应限制后续联系行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5）催收人员使用设备应符合相关规定；</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6）外访催收人员应着装得体，不得穿着特殊服饰或有不当言行；</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7）严禁冒名催收，不得以行政机关、司法机关等虚假身份追查债务人信息、寄送催收信函、开展催收行为。不得以邀标方身份开展催收行为；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8）严禁暴力催收，不得以列入虚构的黑名单、虚构的不良信用数据库为由威胁债务人。严禁以虚假的债务数额、性质、法律后果做出误导债务人的表述。严禁采用骚扰、恐吓、欺诈、威胁等不当手段开展催收。</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3</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催收过程中不得有任何有损邀标方形象和声誉的言语和行为，若在催收过程中与当事人发生纠纷，由中标单位负责自行解决，因中标单位催收行为给邀标方造成损失的，招标人可依法就损失款项向中标单位追偿。</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4</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中标单位必须在每个催收周期内（三个月为一个催收周期），至少完成一次对清单所列不良客户的催收。</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5</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必须加强对追回款项的管理。中标单位催收人员在催收时，必须要求被催人员将款项存入招标人指定账户中，不得代收现金和挪用，不得要求被催收人将款项付至中标单位或中标单位催收人员指定的账户。</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6</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应对招标人委托的催收客户，按一户一档建立催收档案，书面记录所采用的具体催收方式和催收过程，并将催收相关资料（如催收过程中的记录、录音资料、信函存根、签收回执等）移交招标人备存。本协议终止或提前终止时，中标单位应交回所有客户纸质、电子档案材料，并承担协议终止后的保密责任。</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7</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中标单位应在每季季末向招标人提交当季催收情况及催收成效报告，分析不良成因，归纳总结出形成不良的债务人特征。</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8</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中标单位在催收过程中应将所委托催收的不良资产客户的基本信息变动情况及时向招标人反馈，一旦发现有确切证据表明不良客户的经济状况、还款能力发生突变，或者恶意逃废债应立即向招标人书面报告。</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9</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中标单位的不当催收行为给招标人造成损失的，有权要求中标单位承担相应的损失（包括但不限于委托期间时效丢失、未经允许放弃权利、减免债务、延长债务履行期限）。对未尽责催收导致招标人丧失各类时效（或主动放弃债权）的，按招标人实际损失赔付。</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10</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在招标人认定中标单位不能全面完成代理工作或存在违反保密义务等有损于招标人权益的行为，或出现较多客户投诉时，招标人有权随时解除与中标单位签订的委托催收协议，并要求中标单位赔偿相应损失或承担法律责任。</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lang w:val="en-US" w:eastAsia="zh-CN"/>
        </w:rPr>
        <w:t>11</w:t>
      </w:r>
      <w:r>
        <w:rPr>
          <w:rFonts w:hint="eastAsia" w:ascii="仿宋_GB2312" w:hAnsi="仿宋_GB2312" w:eastAsia="仿宋_GB2312" w:cs="仿宋_GB2312"/>
          <w:bCs/>
          <w:snapToGrid w:val="0"/>
          <w:sz w:val="30"/>
          <w:szCs w:val="30"/>
          <w:lang w:eastAsia="zh-CN"/>
        </w:rPr>
        <w:t>）</w:t>
      </w:r>
      <w:r>
        <w:rPr>
          <w:rFonts w:hint="eastAsia" w:ascii="仿宋_GB2312" w:hAnsi="仿宋_GB2312" w:eastAsia="仿宋_GB2312" w:cs="仿宋_GB2312"/>
          <w:bCs/>
          <w:snapToGrid w:val="0"/>
          <w:sz w:val="30"/>
          <w:szCs w:val="30"/>
        </w:rPr>
        <w:t>招标人有权了解掌握中标方的财务、经营、内部资料保密、操作风险内控、催收经办人员培训等情况，并进行定期或不定期检查和评估（包括现场及非现场等手段）。</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3、保密管理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（1）投标人及其从业人员对于合作过程中知悉的银行保密信息负有保密义务，法律、法规另有规定的除外；</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（2）培养从业人员的保密意识，定期对员工进行专场信息安全培训，所有培训需保留相关记录；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（3）具备流程规范员工工作状态改变（如入职、调岗、离职等）后系统用户权限的申请、审批及修改；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（4）具备完善的数据管理制度和操作指引（接收、导入、删除等）；</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（5）具备数据及数据介质销毁制度，并进行销毁记录；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（6）具备完善的档案管理标准和制度；</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（7）采取合理的安全措施保护保密信息，包括但不限于妥善保管纸质文件、设置电子文件密码、限制内部人员访问权限等，防止信息泄露、丢失或被盗。</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bCs/>
          <w:snapToGrid w:val="0"/>
          <w:sz w:val="30"/>
          <w:szCs w:val="30"/>
        </w:rPr>
        <w:t>（8）在处理与委托方有利益冲突的其他案件时，应确保不利用保密信息为其他方谋取利益，且不得因其他案件的需要而披露委托方的保密信息。</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四</w:t>
      </w:r>
      <w:r>
        <w:rPr>
          <w:rFonts w:hint="eastAsia" w:ascii="仿宋_GB2312" w:hAnsi="仿宋_GB2312" w:eastAsia="仿宋_GB2312" w:cs="仿宋_GB2312"/>
          <w:color w:val="000000"/>
          <w:kern w:val="0"/>
          <w:sz w:val="30"/>
          <w:szCs w:val="30"/>
        </w:rPr>
        <w:t>、报名材料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1、营业执照复印件；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2、法人授权委托书（格式见附件1）；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3、法定代表人及被授权人身份证复印件；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4、供应商报名表（格式见附件2）。</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注：以上第1、3项提供复印件，第2、4项提供原件，所有材料须加盖公章。纸质材料送至丹阳市开发区金陵西路152号丹阳农商银行9楼行政保卫部蒋和俊处。丹阳农商银行将对收到的报名材料进行</w:t>
      </w:r>
      <w:r>
        <w:rPr>
          <w:rFonts w:hint="eastAsia" w:ascii="仿宋_GB2312" w:hAnsi="仿宋_GB2312" w:eastAsia="仿宋_GB2312" w:cs="仿宋_GB2312"/>
          <w:color w:val="000000"/>
          <w:kern w:val="0"/>
          <w:sz w:val="30"/>
          <w:szCs w:val="30"/>
          <w:lang w:eastAsia="zh-CN"/>
        </w:rPr>
        <w:t>初审，通过后招标文件将发送至报名表中所填邮箱，请注意查收并回复</w:t>
      </w:r>
      <w:r>
        <w:rPr>
          <w:rFonts w:hint="eastAsia" w:ascii="仿宋_GB2312" w:hAnsi="仿宋_GB2312" w:eastAsia="仿宋_GB2312" w:cs="仿宋_GB2312"/>
          <w:color w:val="000000"/>
          <w:kern w:val="0"/>
          <w:sz w:val="30"/>
          <w:szCs w:val="30"/>
        </w:rPr>
        <w:t>。</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四、报名时间、地点及联系人</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1、报名时间：从本公告发布之日起三个工作日内（工作日08:30-17:00），符合条件的企业均可报名。</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2、报名地点：丹阳市开发区金陵西路152号。</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3、联系人：蒋先生，联系电话：0511-86958001。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default"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4、招投标邮箱：dynsyhztb@163.com</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lang w:val="en-US" w:eastAsia="zh-CN"/>
        </w:rPr>
      </w:pP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附件1:</w:t>
      </w:r>
    </w:p>
    <w:p>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法人授权委托书</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本授权书于   年  月 日签字生效，特此声明。</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法定代表人：（签字并加盖公章）</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被授权人：（签字）</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附件2：</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丹阳农商银行供应商信息表</w:t>
      </w:r>
    </w:p>
    <w:tbl>
      <w:tblPr>
        <w:tblStyle w:val="9"/>
        <w:tblW w:w="8771"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1609"/>
        <w:gridCol w:w="2287"/>
        <w:gridCol w:w="720"/>
        <w:gridCol w:w="1545"/>
        <w:gridCol w:w="977"/>
        <w:gridCol w:w="163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一、供应商基本信息</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公司名称</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法人代表</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通讯地址</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公司网页</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传真：</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联系人职务</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联系电话1</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联系电话2</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E-mail</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所属地区</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公司创立时间</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所有权性质</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□外国独资企业□中外合资企业□国营企业□民营企业□上市公司</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二、供应商资产情况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注册资本</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总资产</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三、公司股东情况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公司股东结构(股份在5%以上的股东)</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股东名称</w:t>
            </w: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持股比例</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四、供应商经营情况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主要经营范围</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主要经营区域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营业执照号码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营业执照起止期限</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五、供应商财务情况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近三年经营业绩</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年销售总额(万元)</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利润率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六、供应商管理情况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公司管理人员情况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职务</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姓名</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办公电话</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销售总监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技术总监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财务总监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管理团队知识结构</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博士(后)_____人      硕士_____人    本科_____人    大专____人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高级工程师_______人   中级工程师_______人 其他________人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公司总人数</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管理体系认证</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认证起止日期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七、产品情况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主要项目或产品介绍（含品名、规格、价格、行业标准）</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与产品有关的任何第三方资质认证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认证名称</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认证机构</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认证起止期限</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公司获奖情况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内容</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颁发机构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八、客户情况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主要客户介绍</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客户名称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与其他银行合作情况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银行名称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与丹阳农商行合作情况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机构名称（总行或XX分行）</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供应商评价</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备注</w:t>
            </w:r>
          </w:p>
        </w:tc>
        <w:tc>
          <w:tcPr>
            <w:tcW w:w="7162"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bl>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填表人：                               填表日期：</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填表须知：</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一、填表注意事项：</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1.此表由丹阳农商行潜在供应商填写，作为我单位建立供应商库，择优选取合作供应商的参考资料，请相关人员务必仔细阅读、认真填写《供应商信息表》；</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2.供应商应承诺本表中填写的内容及所提交的相关材料真实、可靠；若有任何弄虚作假，本企业将被丹阳农商行取消潜在供应商资格；</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3.我单位承诺对供应商所提供的相关信息严格保密，绝不外泄；</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4.据实填写此调查表时，若需增加附页，附页纸张大小必须与本调查表相同，表格格式、项目、内容等必须与调查表中完全一致。</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二、填表说明</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1.联系人联系方式应常用且有效；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2.公司网址、传真、通讯地址以及邮编应有效；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3.注册资本按营业执照上注册资本金额填写；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4.所属地区为公司注册所在地；</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5.公司总资产按照审计报告后附的财务报表相关数据填写；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6.主要经营范围按营业执照上经营范围填写；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7.销售总额以及利润率应填写近三年的销售总额及利润率；</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8.公司管理人员应为现有管理人员，其联系方式应常用及有效；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9.管理体系认证是指ISO系列质量管理认证体系中的任何一种；</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10.与产品有关的任何第三方资质认证是指该公司所处行业或所生产产品的任何强制性认证或者自愿性认证，包括ISO9001、ISO9002、ISO14001、UL、VDE、EMC、CCEE、CE等认证；</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11.如公司填写企业获奖情况一栏，请出具相应的获奖证明，如证书、网址、期刊名称等；</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12.供应商评价栏由我单位相关部门填写，供应商类别为“现有供应商、潜在供应商、黑名单供应商”。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魏碑">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auto"/>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16"/>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14CC"/>
    <w:rsid w:val="000001E8"/>
    <w:rsid w:val="00000467"/>
    <w:rsid w:val="000005F5"/>
    <w:rsid w:val="000006FD"/>
    <w:rsid w:val="000011CE"/>
    <w:rsid w:val="000014D6"/>
    <w:rsid w:val="00001679"/>
    <w:rsid w:val="000027DA"/>
    <w:rsid w:val="00002BA4"/>
    <w:rsid w:val="00002C88"/>
    <w:rsid w:val="000033E3"/>
    <w:rsid w:val="0000366F"/>
    <w:rsid w:val="00003C9B"/>
    <w:rsid w:val="00003D99"/>
    <w:rsid w:val="000045B8"/>
    <w:rsid w:val="0000542B"/>
    <w:rsid w:val="000058C0"/>
    <w:rsid w:val="00006BB0"/>
    <w:rsid w:val="00006D10"/>
    <w:rsid w:val="000074F4"/>
    <w:rsid w:val="00010CF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3BDB"/>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4599"/>
    <w:rsid w:val="000A5170"/>
    <w:rsid w:val="000A6478"/>
    <w:rsid w:val="000A716E"/>
    <w:rsid w:val="000A767F"/>
    <w:rsid w:val="000A7915"/>
    <w:rsid w:val="000B028F"/>
    <w:rsid w:val="000B02B6"/>
    <w:rsid w:val="000B05AB"/>
    <w:rsid w:val="000B0856"/>
    <w:rsid w:val="000B1096"/>
    <w:rsid w:val="000B1773"/>
    <w:rsid w:val="000B298D"/>
    <w:rsid w:val="000B2A95"/>
    <w:rsid w:val="000B38FA"/>
    <w:rsid w:val="000B3FA7"/>
    <w:rsid w:val="000B45DF"/>
    <w:rsid w:val="000B48AC"/>
    <w:rsid w:val="000B4DCA"/>
    <w:rsid w:val="000B574D"/>
    <w:rsid w:val="000B5EE3"/>
    <w:rsid w:val="000B5FBC"/>
    <w:rsid w:val="000B638D"/>
    <w:rsid w:val="000B6496"/>
    <w:rsid w:val="000B6DC8"/>
    <w:rsid w:val="000B6FE1"/>
    <w:rsid w:val="000B784D"/>
    <w:rsid w:val="000B7AE6"/>
    <w:rsid w:val="000B7E7D"/>
    <w:rsid w:val="000C006C"/>
    <w:rsid w:val="000C0942"/>
    <w:rsid w:val="000C1072"/>
    <w:rsid w:val="000C1193"/>
    <w:rsid w:val="000C243D"/>
    <w:rsid w:val="000C27DC"/>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6A08"/>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33A"/>
    <w:rsid w:val="001036BF"/>
    <w:rsid w:val="00103BF1"/>
    <w:rsid w:val="00103E10"/>
    <w:rsid w:val="00104B07"/>
    <w:rsid w:val="0010699A"/>
    <w:rsid w:val="00110143"/>
    <w:rsid w:val="00110ACC"/>
    <w:rsid w:val="00110B27"/>
    <w:rsid w:val="00110CC3"/>
    <w:rsid w:val="00110F40"/>
    <w:rsid w:val="001114A0"/>
    <w:rsid w:val="00111AE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A7F"/>
    <w:rsid w:val="00141D19"/>
    <w:rsid w:val="001426DC"/>
    <w:rsid w:val="00143034"/>
    <w:rsid w:val="00143838"/>
    <w:rsid w:val="00143B16"/>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145"/>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3F9C"/>
    <w:rsid w:val="00194039"/>
    <w:rsid w:val="00194173"/>
    <w:rsid w:val="00194947"/>
    <w:rsid w:val="00194BAB"/>
    <w:rsid w:val="00194FD4"/>
    <w:rsid w:val="00195EEF"/>
    <w:rsid w:val="00195FE4"/>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15D"/>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3A27"/>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2EA9"/>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3004D1"/>
    <w:rsid w:val="0030158E"/>
    <w:rsid w:val="00301D5A"/>
    <w:rsid w:val="0030346B"/>
    <w:rsid w:val="00303D89"/>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1730E"/>
    <w:rsid w:val="00320A41"/>
    <w:rsid w:val="00320B10"/>
    <w:rsid w:val="00321754"/>
    <w:rsid w:val="00321E5E"/>
    <w:rsid w:val="00321E86"/>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067"/>
    <w:rsid w:val="00331BB3"/>
    <w:rsid w:val="00331E16"/>
    <w:rsid w:val="00332485"/>
    <w:rsid w:val="00332BE8"/>
    <w:rsid w:val="00332C80"/>
    <w:rsid w:val="00333355"/>
    <w:rsid w:val="003334D0"/>
    <w:rsid w:val="00333784"/>
    <w:rsid w:val="0033381A"/>
    <w:rsid w:val="00333AB9"/>
    <w:rsid w:val="00333BFF"/>
    <w:rsid w:val="00333D45"/>
    <w:rsid w:val="00334621"/>
    <w:rsid w:val="00334989"/>
    <w:rsid w:val="00334B85"/>
    <w:rsid w:val="00334C6F"/>
    <w:rsid w:val="00335CAA"/>
    <w:rsid w:val="00335E27"/>
    <w:rsid w:val="00336B93"/>
    <w:rsid w:val="003372DB"/>
    <w:rsid w:val="00337CDD"/>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6E0"/>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0DAF"/>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78D"/>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55B4"/>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4E3"/>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A3"/>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A9A"/>
    <w:rsid w:val="00487D9F"/>
    <w:rsid w:val="00487FCF"/>
    <w:rsid w:val="00490DF4"/>
    <w:rsid w:val="00491998"/>
    <w:rsid w:val="004928A2"/>
    <w:rsid w:val="00493B0A"/>
    <w:rsid w:val="004947D2"/>
    <w:rsid w:val="00495937"/>
    <w:rsid w:val="004963C3"/>
    <w:rsid w:val="004964F8"/>
    <w:rsid w:val="00496B84"/>
    <w:rsid w:val="00496E4A"/>
    <w:rsid w:val="00497393"/>
    <w:rsid w:val="004975EB"/>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4C0"/>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1843"/>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0AD"/>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764"/>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B4A"/>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19D"/>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A4D"/>
    <w:rsid w:val="00732CD6"/>
    <w:rsid w:val="00732D50"/>
    <w:rsid w:val="00732D9E"/>
    <w:rsid w:val="00733400"/>
    <w:rsid w:val="00733CAE"/>
    <w:rsid w:val="00733FF1"/>
    <w:rsid w:val="00734057"/>
    <w:rsid w:val="00734094"/>
    <w:rsid w:val="0073412F"/>
    <w:rsid w:val="007349E0"/>
    <w:rsid w:val="0073506F"/>
    <w:rsid w:val="00737184"/>
    <w:rsid w:val="007377A4"/>
    <w:rsid w:val="00737BE2"/>
    <w:rsid w:val="00737E1D"/>
    <w:rsid w:val="00740B13"/>
    <w:rsid w:val="007415AA"/>
    <w:rsid w:val="007416FD"/>
    <w:rsid w:val="0074220E"/>
    <w:rsid w:val="00742235"/>
    <w:rsid w:val="00742436"/>
    <w:rsid w:val="00742DE5"/>
    <w:rsid w:val="007431EB"/>
    <w:rsid w:val="007435D9"/>
    <w:rsid w:val="0074397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11AD"/>
    <w:rsid w:val="007822AE"/>
    <w:rsid w:val="00782A60"/>
    <w:rsid w:val="00782F9C"/>
    <w:rsid w:val="00783B3D"/>
    <w:rsid w:val="00784991"/>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3B22"/>
    <w:rsid w:val="007B4F5D"/>
    <w:rsid w:val="007B502A"/>
    <w:rsid w:val="007B5030"/>
    <w:rsid w:val="007B559D"/>
    <w:rsid w:val="007B58CA"/>
    <w:rsid w:val="007B60DF"/>
    <w:rsid w:val="007B6220"/>
    <w:rsid w:val="007B77AD"/>
    <w:rsid w:val="007B785A"/>
    <w:rsid w:val="007B7A93"/>
    <w:rsid w:val="007B7B4F"/>
    <w:rsid w:val="007B7BA7"/>
    <w:rsid w:val="007B7E2A"/>
    <w:rsid w:val="007C026B"/>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144C"/>
    <w:rsid w:val="007D1FB3"/>
    <w:rsid w:val="007D21E6"/>
    <w:rsid w:val="007D2433"/>
    <w:rsid w:val="007D2632"/>
    <w:rsid w:val="007D27B0"/>
    <w:rsid w:val="007D32CF"/>
    <w:rsid w:val="007D3790"/>
    <w:rsid w:val="007D3E76"/>
    <w:rsid w:val="007D52C1"/>
    <w:rsid w:val="007D5442"/>
    <w:rsid w:val="007D561E"/>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502"/>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810"/>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39C"/>
    <w:rsid w:val="00846DA0"/>
    <w:rsid w:val="008472AC"/>
    <w:rsid w:val="00847C64"/>
    <w:rsid w:val="00847D27"/>
    <w:rsid w:val="00850E2F"/>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7B1"/>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247"/>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5DF2"/>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785"/>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0E4"/>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372"/>
    <w:rsid w:val="00A00EC4"/>
    <w:rsid w:val="00A01764"/>
    <w:rsid w:val="00A019F3"/>
    <w:rsid w:val="00A02707"/>
    <w:rsid w:val="00A034C1"/>
    <w:rsid w:val="00A03B9F"/>
    <w:rsid w:val="00A03C3A"/>
    <w:rsid w:val="00A041D4"/>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19F0"/>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0F6E"/>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7B"/>
    <w:rsid w:val="00A72BB2"/>
    <w:rsid w:val="00A72E8F"/>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0AD"/>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C45"/>
    <w:rsid w:val="00AD43AC"/>
    <w:rsid w:val="00AD47B0"/>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648"/>
    <w:rsid w:val="00AE288B"/>
    <w:rsid w:val="00AE2B15"/>
    <w:rsid w:val="00AE2EB7"/>
    <w:rsid w:val="00AE2F03"/>
    <w:rsid w:val="00AE3760"/>
    <w:rsid w:val="00AE3975"/>
    <w:rsid w:val="00AE3EB3"/>
    <w:rsid w:val="00AE4BD8"/>
    <w:rsid w:val="00AE50B2"/>
    <w:rsid w:val="00AE5DD3"/>
    <w:rsid w:val="00AE6709"/>
    <w:rsid w:val="00AE6E7B"/>
    <w:rsid w:val="00AF033C"/>
    <w:rsid w:val="00AF12A9"/>
    <w:rsid w:val="00AF165A"/>
    <w:rsid w:val="00AF2046"/>
    <w:rsid w:val="00AF2620"/>
    <w:rsid w:val="00AF289F"/>
    <w:rsid w:val="00AF2941"/>
    <w:rsid w:val="00AF2AD7"/>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24"/>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5E48"/>
    <w:rsid w:val="00B16C83"/>
    <w:rsid w:val="00B174D7"/>
    <w:rsid w:val="00B17A8E"/>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53E1"/>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6C83"/>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0F9"/>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996"/>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954"/>
    <w:rsid w:val="00C400DB"/>
    <w:rsid w:val="00C412D3"/>
    <w:rsid w:val="00C4176C"/>
    <w:rsid w:val="00C418D0"/>
    <w:rsid w:val="00C42171"/>
    <w:rsid w:val="00C42768"/>
    <w:rsid w:val="00C428C7"/>
    <w:rsid w:val="00C42DCF"/>
    <w:rsid w:val="00C430D2"/>
    <w:rsid w:val="00C43B89"/>
    <w:rsid w:val="00C44CAC"/>
    <w:rsid w:val="00C44E1D"/>
    <w:rsid w:val="00C45CD3"/>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0F9B"/>
    <w:rsid w:val="00C71CEB"/>
    <w:rsid w:val="00C722C1"/>
    <w:rsid w:val="00C73C4E"/>
    <w:rsid w:val="00C73CAF"/>
    <w:rsid w:val="00C73DDA"/>
    <w:rsid w:val="00C74621"/>
    <w:rsid w:val="00C74CD7"/>
    <w:rsid w:val="00C752BC"/>
    <w:rsid w:val="00C75809"/>
    <w:rsid w:val="00C75A7B"/>
    <w:rsid w:val="00C75EEC"/>
    <w:rsid w:val="00C76517"/>
    <w:rsid w:val="00C76969"/>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CF7A13"/>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67F"/>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4C2"/>
    <w:rsid w:val="00D365F3"/>
    <w:rsid w:val="00D36CD0"/>
    <w:rsid w:val="00D375CE"/>
    <w:rsid w:val="00D377DC"/>
    <w:rsid w:val="00D40567"/>
    <w:rsid w:val="00D410E0"/>
    <w:rsid w:val="00D4144C"/>
    <w:rsid w:val="00D41796"/>
    <w:rsid w:val="00D41FA6"/>
    <w:rsid w:val="00D421FF"/>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3EC6"/>
    <w:rsid w:val="00D54266"/>
    <w:rsid w:val="00D54F32"/>
    <w:rsid w:val="00D55A98"/>
    <w:rsid w:val="00D56CD3"/>
    <w:rsid w:val="00D56D4F"/>
    <w:rsid w:val="00D56EC8"/>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42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0E36"/>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BD4"/>
    <w:rsid w:val="00DB6D36"/>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397"/>
    <w:rsid w:val="00DD44E5"/>
    <w:rsid w:val="00DD453D"/>
    <w:rsid w:val="00DD483B"/>
    <w:rsid w:val="00DD5A96"/>
    <w:rsid w:val="00DD5AE5"/>
    <w:rsid w:val="00DD5B74"/>
    <w:rsid w:val="00DD5B98"/>
    <w:rsid w:val="00DE05DB"/>
    <w:rsid w:val="00DE07F1"/>
    <w:rsid w:val="00DE0D0F"/>
    <w:rsid w:val="00DE0DE0"/>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80D"/>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092"/>
    <w:rsid w:val="00E02713"/>
    <w:rsid w:val="00E0308A"/>
    <w:rsid w:val="00E04344"/>
    <w:rsid w:val="00E04BB3"/>
    <w:rsid w:val="00E05F13"/>
    <w:rsid w:val="00E06FF8"/>
    <w:rsid w:val="00E07914"/>
    <w:rsid w:val="00E10A13"/>
    <w:rsid w:val="00E10F79"/>
    <w:rsid w:val="00E114C3"/>
    <w:rsid w:val="00E11E20"/>
    <w:rsid w:val="00E1280D"/>
    <w:rsid w:val="00E1362C"/>
    <w:rsid w:val="00E139B3"/>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26B79"/>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870F1"/>
    <w:rsid w:val="00E9039E"/>
    <w:rsid w:val="00E90FB4"/>
    <w:rsid w:val="00E9112F"/>
    <w:rsid w:val="00E911B7"/>
    <w:rsid w:val="00E91A2F"/>
    <w:rsid w:val="00E91B2C"/>
    <w:rsid w:val="00E9277A"/>
    <w:rsid w:val="00E92915"/>
    <w:rsid w:val="00E92991"/>
    <w:rsid w:val="00E92E6C"/>
    <w:rsid w:val="00E92F3B"/>
    <w:rsid w:val="00E93411"/>
    <w:rsid w:val="00E93C8B"/>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0214"/>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666"/>
    <w:rsid w:val="00ED68CA"/>
    <w:rsid w:val="00ED6B2B"/>
    <w:rsid w:val="00ED75C5"/>
    <w:rsid w:val="00EE0089"/>
    <w:rsid w:val="00EE01DE"/>
    <w:rsid w:val="00EE071C"/>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486"/>
    <w:rsid w:val="00EF58A1"/>
    <w:rsid w:val="00EF5C04"/>
    <w:rsid w:val="00EF5F4F"/>
    <w:rsid w:val="00EF636D"/>
    <w:rsid w:val="00EF753D"/>
    <w:rsid w:val="00EF7EE4"/>
    <w:rsid w:val="00EF7F24"/>
    <w:rsid w:val="00F00C22"/>
    <w:rsid w:val="00F014CC"/>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6E06"/>
    <w:rsid w:val="00F478E6"/>
    <w:rsid w:val="00F51B6F"/>
    <w:rsid w:val="00F51C26"/>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774"/>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54FB"/>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58B"/>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011B2CFA"/>
    <w:rsid w:val="18162C87"/>
    <w:rsid w:val="1CA07FD5"/>
    <w:rsid w:val="22270859"/>
    <w:rsid w:val="2492397E"/>
    <w:rsid w:val="27F406CE"/>
    <w:rsid w:val="2CB20BC6"/>
    <w:rsid w:val="398B0D75"/>
    <w:rsid w:val="3A1E4A98"/>
    <w:rsid w:val="3DA560D3"/>
    <w:rsid w:val="3E661EED"/>
    <w:rsid w:val="3FA14C58"/>
    <w:rsid w:val="43B97519"/>
    <w:rsid w:val="46E13181"/>
    <w:rsid w:val="49766AF5"/>
    <w:rsid w:val="498E3C3D"/>
    <w:rsid w:val="4B54714C"/>
    <w:rsid w:val="4B7C2965"/>
    <w:rsid w:val="4CD559D9"/>
    <w:rsid w:val="4F013A01"/>
    <w:rsid w:val="5B915465"/>
    <w:rsid w:val="5BA861F2"/>
    <w:rsid w:val="5EC419B0"/>
    <w:rsid w:val="6006147A"/>
    <w:rsid w:val="62847721"/>
    <w:rsid w:val="65CB2E8D"/>
    <w:rsid w:val="67931B29"/>
    <w:rsid w:val="69283297"/>
    <w:rsid w:val="6EE21406"/>
    <w:rsid w:val="77D116A8"/>
    <w:rsid w:val="78C1260E"/>
    <w:rsid w:val="79D81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Plain Text"/>
    <w:basedOn w:val="1"/>
    <w:qFormat/>
    <w:uiPriority w:val="0"/>
    <w:pPr>
      <w:widowControl w:val="0"/>
    </w:pPr>
    <w:rPr>
      <w:rFonts w:ascii="宋体" w:hAnsi="Courier New" w:cs="金山简魏碑"/>
      <w:color w:val="auto"/>
      <w:szCs w:val="21"/>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line="380" w:lineRule="exact"/>
      <w:ind w:firstLine="551" w:firstLineChars="200"/>
    </w:pPr>
    <w:rPr>
      <w:b/>
      <w:bCs/>
      <w:sz w:val="28"/>
    </w:rPr>
  </w:style>
  <w:style w:type="paragraph" w:styleId="7">
    <w:name w:val="Title"/>
    <w:basedOn w:val="1"/>
    <w:next w:val="1"/>
    <w:unhideWhenUsed/>
    <w:qFormat/>
    <w:uiPriority w:val="0"/>
    <w:pPr>
      <w:spacing w:before="240" w:beforeLines="0" w:after="60" w:afterLines="0"/>
      <w:jc w:val="center"/>
      <w:outlineLvl w:val="0"/>
    </w:pPr>
    <w:rPr>
      <w:rFonts w:hint="default" w:ascii="Cambria" w:hAnsi="Cambria" w:eastAsia="宋体"/>
      <w:b/>
      <w:kern w:val="0"/>
      <w:sz w:val="32"/>
      <w:szCs w:val="24"/>
    </w:rPr>
  </w:style>
  <w:style w:type="paragraph" w:styleId="8">
    <w:name w:val="Body Text First Indent 2"/>
    <w:basedOn w:val="2"/>
    <w:qFormat/>
    <w:uiPriority w:val="99"/>
    <w:pPr>
      <w:ind w:firstLine="420" w:firstLineChars="200"/>
    </w:pPr>
    <w:rPr>
      <w:szCs w:val="24"/>
    </w:rPr>
  </w:style>
  <w:style w:type="character" w:styleId="11">
    <w:name w:val="Hyperlink"/>
    <w:basedOn w:val="10"/>
    <w:semiHidden/>
    <w:unhideWhenUsed/>
    <w:qFormat/>
    <w:uiPriority w:val="99"/>
    <w:rPr>
      <w:color w:val="0000FF"/>
      <w:u w:val="single"/>
    </w:rPr>
  </w:style>
  <w:style w:type="character" w:customStyle="1" w:styleId="12">
    <w:name w:val="页眉 Char"/>
    <w:basedOn w:val="10"/>
    <w:link w:val="5"/>
    <w:semiHidden/>
    <w:qFormat/>
    <w:uiPriority w:val="99"/>
    <w:rPr>
      <w:sz w:val="18"/>
      <w:szCs w:val="18"/>
    </w:rPr>
  </w:style>
  <w:style w:type="character" w:customStyle="1" w:styleId="13">
    <w:name w:val="页脚 Char"/>
    <w:basedOn w:val="10"/>
    <w:link w:val="4"/>
    <w:semiHidden/>
    <w:qFormat/>
    <w:uiPriority w:val="99"/>
    <w:rPr>
      <w:sz w:val="18"/>
      <w:szCs w:val="18"/>
    </w:rPr>
  </w:style>
  <w:style w:type="paragraph" w:styleId="14">
    <w:name w:val="List Paragraph"/>
    <w:basedOn w:val="1"/>
    <w:link w:val="17"/>
    <w:qFormat/>
    <w:uiPriority w:val="34"/>
    <w:pPr>
      <w:ind w:firstLine="420" w:firstLineChars="200"/>
    </w:pPr>
  </w:style>
  <w:style w:type="paragraph" w:customStyle="1" w:styleId="15">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6">
    <w:name w:val="test1"/>
    <w:basedOn w:val="1"/>
    <w:qFormat/>
    <w:uiPriority w:val="0"/>
    <w:pPr>
      <w:numPr>
        <w:ilvl w:val="0"/>
        <w:numId w:val="1"/>
      </w:numPr>
      <w:tabs>
        <w:tab w:val="left" w:pos="360"/>
      </w:tabs>
      <w:overflowPunct w:val="0"/>
      <w:autoSpaceDE w:val="0"/>
      <w:autoSpaceDN w:val="0"/>
      <w:adjustRightInd w:val="0"/>
      <w:spacing w:before="120" w:line="288" w:lineRule="auto"/>
      <w:jc w:val="left"/>
      <w:textAlignment w:val="baseline"/>
    </w:pPr>
    <w:rPr>
      <w:rFonts w:ascii="宋体" w:hAnsi="Times New Roman" w:eastAsia="宋体" w:cs="Times New Roman"/>
      <w:b/>
      <w:bCs/>
      <w:kern w:val="0"/>
      <w:szCs w:val="21"/>
    </w:rPr>
  </w:style>
  <w:style w:type="character" w:customStyle="1" w:styleId="17">
    <w:name w:val="列出段落 Char"/>
    <w:link w:val="14"/>
    <w:qFormat/>
    <w:uiPriority w:val="34"/>
  </w:style>
  <w:style w:type="paragraph" w:customStyle="1" w:styleId="18">
    <w:name w:val="正文（文本）"/>
    <w:qFormat/>
    <w:uiPriority w:val="0"/>
    <w:pPr>
      <w:widowControl w:val="0"/>
      <w:snapToGrid w:val="0"/>
      <w:spacing w:beforeLines="20" w:line="360" w:lineRule="auto"/>
      <w:jc w:val="center"/>
    </w:pPr>
    <w:rPr>
      <w:rFonts w:ascii="Times New Roman" w:hAnsi="宋体"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2811</Words>
  <Characters>2997</Characters>
  <Lines>25</Lines>
  <Paragraphs>7</Paragraphs>
  <TotalTime>13</TotalTime>
  <ScaleCrop>false</ScaleCrop>
  <LinksUpToDate>false</LinksUpToDate>
  <CharactersWithSpaces>3103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2023-03-01T09:10:00Z</dcterms:created>
  <dc:creator>lenovo</dc:creator>
  <cp:lastModifiedBy>Administrator</cp:lastModifiedBy>
  <cp:lastPrinted>2021-05-31T07:18:00Z</cp:lastPrinted>
  <dcterms:modified xsi:type="dcterms:W3CDTF">2026-02-28T03:05:21Z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85BC452ABFE749898666CD3C8A7E43ED_12</vt:lpwstr>
  </property>
</Properties>
</file>