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方正小标宋_GBK" w:hAnsi="方正小标宋_GBK" w:eastAsia="方正小标宋_GBK" w:cs="方正小标宋_GBK"/>
          <w:color w:val="000000"/>
          <w:kern w:val="0"/>
          <w:sz w:val="36"/>
          <w:szCs w:val="36"/>
        </w:rPr>
        <w:t>丹阳农商银行2026年数据中心核心网络设备维保及技术服务采购项目供应商征集公告</w:t>
      </w: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各潜在供应商：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江苏丹阳农村商业银行股份有限公司就“数据中心核心网络设备维保及技术服务</w:t>
      </w:r>
      <w:r>
        <w:rPr>
          <w:rFonts w:hint="eastAsia" w:ascii="仿宋_GB2312" w:hAnsi="仿宋_GB2312" w:eastAsia="仿宋_GB2312" w:cs="仿宋_GB2312"/>
          <w:sz w:val="30"/>
          <w:szCs w:val="30"/>
        </w:rPr>
        <w:t>”项目拟进行邀请招标，现征集符合条件的潜在供应商，请贵单位积极报名。</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一、招标项目基本情况：</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sz w:val="30"/>
          <w:szCs w:val="30"/>
        </w:rPr>
        <w:t>招标单位： 江苏丹阳农村商业银行股份有限公司</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pacing w:val="-10"/>
          <w:sz w:val="30"/>
          <w:szCs w:val="30"/>
          <w:highlight w:val="gree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项目名称：</w:t>
      </w:r>
      <w:r>
        <w:rPr>
          <w:rFonts w:hint="eastAsia" w:ascii="仿宋_GB2312" w:hAnsi="仿宋_GB2312" w:eastAsia="仿宋_GB2312" w:cs="仿宋_GB2312"/>
          <w:sz w:val="30"/>
          <w:szCs w:val="30"/>
        </w:rPr>
        <w:t>丹阳农商银行</w:t>
      </w:r>
      <w:r>
        <w:rPr>
          <w:rFonts w:hint="eastAsia" w:ascii="仿宋_GB2312" w:hAnsi="仿宋_GB2312" w:eastAsia="仿宋_GB2312" w:cs="仿宋_GB2312"/>
          <w:sz w:val="30"/>
          <w:szCs w:val="30"/>
          <w:lang w:val="en-US" w:eastAsia="zh-CN"/>
        </w:rPr>
        <w:t>2026年</w:t>
      </w:r>
      <w:r>
        <w:rPr>
          <w:rFonts w:hint="eastAsia" w:ascii="仿宋_GB2312" w:hAnsi="仿宋_GB2312" w:eastAsia="仿宋_GB2312" w:cs="仿宋_GB2312"/>
          <w:sz w:val="30"/>
          <w:szCs w:val="30"/>
        </w:rPr>
        <w:t>数据中心核心网络设备维保及技术服务采购项目</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default" w:ascii="仿宋_GB2312" w:hAnsi="仿宋_GB2312" w:eastAsia="仿宋_GB2312" w:cs="仿宋_GB2312"/>
          <w:kern w:val="0"/>
          <w:sz w:val="30"/>
          <w:szCs w:val="30"/>
          <w:lang w:val="en-US"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w:t>
      </w:r>
      <w:r>
        <w:rPr>
          <w:rFonts w:hint="eastAsia" w:ascii="仿宋_GB2312" w:hAnsi="仿宋_GB2312" w:eastAsia="仿宋_GB2312" w:cs="仿宋_GB2312"/>
          <w:kern w:val="0"/>
          <w:sz w:val="30"/>
          <w:szCs w:val="30"/>
        </w:rPr>
        <w:t>最高限价：</w:t>
      </w:r>
      <w:r>
        <w:rPr>
          <w:rFonts w:hint="eastAsia" w:ascii="仿宋_GB2312" w:hAnsi="仿宋_GB2312" w:eastAsia="仿宋_GB2312" w:cs="仿宋_GB2312"/>
          <w:kern w:val="0"/>
          <w:sz w:val="30"/>
          <w:szCs w:val="30"/>
          <w:lang w:eastAsia="zh-CN"/>
        </w:rPr>
        <w:t>不超</w:t>
      </w:r>
      <w:r>
        <w:rPr>
          <w:rFonts w:hint="eastAsia" w:ascii="仿宋_GB2312" w:hAnsi="仿宋_GB2312" w:eastAsia="仿宋_GB2312" w:cs="仿宋_GB2312"/>
          <w:kern w:val="0"/>
          <w:sz w:val="30"/>
          <w:szCs w:val="30"/>
          <w:lang w:val="en-US" w:eastAsia="zh-CN"/>
        </w:rPr>
        <w:t>18万元</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lang w:val="en-US" w:eastAsia="zh-CN"/>
        </w:rPr>
        <w:t>4</w:t>
      </w:r>
      <w:r>
        <w:rPr>
          <w:rFonts w:hint="eastAsia" w:ascii="仿宋_GB2312" w:hAnsi="仿宋_GB2312" w:eastAsia="仿宋_GB2312" w:cs="仿宋_GB2312"/>
          <w:kern w:val="0"/>
          <w:sz w:val="30"/>
          <w:szCs w:val="30"/>
        </w:rPr>
        <w:t>、招标内容：</w:t>
      </w:r>
      <w:r>
        <w:rPr>
          <w:rFonts w:hint="eastAsia" w:ascii="仿宋_GB2312" w:hAnsi="仿宋_GB2312" w:eastAsia="仿宋_GB2312" w:cs="仿宋_GB2312"/>
          <w:sz w:val="30"/>
          <w:szCs w:val="30"/>
        </w:rPr>
        <w:t>江苏</w:t>
      </w:r>
      <w:r>
        <w:rPr>
          <w:rFonts w:hint="eastAsia" w:ascii="仿宋_GB2312" w:hAnsi="仿宋_GB2312" w:eastAsia="仿宋_GB2312" w:cs="仿宋_GB2312"/>
          <w:sz w:val="30"/>
          <w:szCs w:val="30"/>
          <w:lang w:val="en-US" w:eastAsia="zh-CN"/>
        </w:rPr>
        <w:t>丹阳</w:t>
      </w:r>
      <w:r>
        <w:rPr>
          <w:rFonts w:hint="eastAsia" w:ascii="仿宋_GB2312" w:hAnsi="仿宋_GB2312" w:eastAsia="仿宋_GB2312" w:cs="仿宋_GB2312"/>
          <w:sz w:val="30"/>
          <w:szCs w:val="30"/>
        </w:rPr>
        <w:t>农村商业银行的网络及安全设备已达到维保期限，为保障设备与系统安全稳定运行，亟需对这些设备购买后期维保服务。通过该项目建立规范、高效的设备维保服务体系，提供整体协调和管理服务，确保各相关软硬件系统的高可靠性和高可用性。</w:t>
      </w:r>
    </w:p>
    <w:p>
      <w:pPr>
        <w:jc w:val="center"/>
        <w:rPr>
          <w:rFonts w:hint="eastAsia"/>
        </w:rPr>
      </w:pPr>
      <w:r>
        <w:rPr>
          <w:rFonts w:hint="eastAsia" w:ascii="宋体" w:hAnsi="宋体" w:cs="Calibri"/>
          <w:b/>
          <w:bCs/>
          <w:kern w:val="0"/>
          <w:sz w:val="32"/>
          <w:szCs w:val="32"/>
        </w:rPr>
        <w:t>丹阳农商行数据中心核心网络设备清单</w:t>
      </w:r>
    </w:p>
    <w:tbl>
      <w:tblPr>
        <w:tblStyle w:val="9"/>
        <w:tblW w:w="8210" w:type="dxa"/>
        <w:tblInd w:w="0" w:type="dxa"/>
        <w:tblLayout w:type="fixed"/>
        <w:tblCellMar>
          <w:top w:w="0" w:type="dxa"/>
          <w:left w:w="108" w:type="dxa"/>
          <w:bottom w:w="0" w:type="dxa"/>
          <w:right w:w="108" w:type="dxa"/>
        </w:tblCellMar>
      </w:tblPr>
      <w:tblGrid>
        <w:gridCol w:w="580"/>
        <w:gridCol w:w="1433"/>
        <w:gridCol w:w="1449"/>
        <w:gridCol w:w="580"/>
        <w:gridCol w:w="3074"/>
        <w:gridCol w:w="1094"/>
      </w:tblGrid>
      <w:tr>
        <w:tblPrEx>
          <w:tblCellMar>
            <w:top w:w="0" w:type="dxa"/>
            <w:left w:w="108" w:type="dxa"/>
            <w:bottom w:w="0" w:type="dxa"/>
            <w:right w:w="108" w:type="dxa"/>
          </w:tblCellMar>
        </w:tblPrEx>
        <w:trPr>
          <w:trHeight w:val="742" w:hRule="atLeast"/>
        </w:trPr>
        <w:tc>
          <w:tcPr>
            <w:tcW w:w="580" w:type="dxa"/>
            <w:tcBorders>
              <w:top w:val="single" w:color="auto" w:sz="8" w:space="0"/>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序号</w:t>
            </w:r>
          </w:p>
        </w:tc>
        <w:tc>
          <w:tcPr>
            <w:tcW w:w="1433"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设备名称</w:t>
            </w:r>
          </w:p>
        </w:tc>
        <w:tc>
          <w:tcPr>
            <w:tcW w:w="1449"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型号</w:t>
            </w:r>
          </w:p>
        </w:tc>
        <w:tc>
          <w:tcPr>
            <w:tcW w:w="580"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数量</w:t>
            </w:r>
          </w:p>
        </w:tc>
        <w:tc>
          <w:tcPr>
            <w:tcW w:w="3074"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用途</w:t>
            </w:r>
          </w:p>
        </w:tc>
        <w:tc>
          <w:tcPr>
            <w:tcW w:w="1094"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启用日期</w:t>
            </w:r>
          </w:p>
        </w:tc>
      </w:tr>
      <w:tr>
        <w:tblPrEx>
          <w:tblCellMar>
            <w:top w:w="0" w:type="dxa"/>
            <w:left w:w="108" w:type="dxa"/>
            <w:bottom w:w="0" w:type="dxa"/>
            <w:right w:w="108" w:type="dxa"/>
          </w:tblCellMar>
        </w:tblPrEx>
        <w:trPr>
          <w:trHeight w:val="562"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路由器</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浪潮思科8696Q</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核心交换机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2018.11</w:t>
            </w:r>
          </w:p>
        </w:tc>
      </w:tr>
      <w:tr>
        <w:tblPrEx>
          <w:tblCellMar>
            <w:top w:w="0" w:type="dxa"/>
            <w:left w:w="108" w:type="dxa"/>
            <w:bottom w:w="0" w:type="dxa"/>
            <w:right w:w="108" w:type="dxa"/>
          </w:tblCellMar>
        </w:tblPrEx>
        <w:trPr>
          <w:trHeight w:val="449"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防火墙</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山石SG-6000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外联防火墙</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2020.5</w:t>
            </w:r>
          </w:p>
        </w:tc>
      </w:tr>
      <w:tr>
        <w:tblPrEx>
          <w:tblCellMar>
            <w:top w:w="0" w:type="dxa"/>
            <w:left w:w="108" w:type="dxa"/>
            <w:bottom w:w="0" w:type="dxa"/>
            <w:right w:w="108" w:type="dxa"/>
          </w:tblCellMar>
        </w:tblPrEx>
        <w:trPr>
          <w:trHeight w:val="562"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防火墙</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天融信NG-A3314</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内网上联联合银行防火墙</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2022.9</w:t>
            </w:r>
          </w:p>
        </w:tc>
      </w:tr>
      <w:tr>
        <w:tblPrEx>
          <w:tblCellMar>
            <w:top w:w="0" w:type="dxa"/>
            <w:left w:w="108" w:type="dxa"/>
            <w:bottom w:w="0" w:type="dxa"/>
            <w:right w:w="108" w:type="dxa"/>
          </w:tblCellMar>
        </w:tblPrEx>
        <w:trPr>
          <w:trHeight w:val="562"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防火墙</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天融信TG-22104</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监控段防火墙</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2015.5</w:t>
            </w:r>
          </w:p>
        </w:tc>
      </w:tr>
      <w:tr>
        <w:tblPrEx>
          <w:tblCellMar>
            <w:top w:w="0" w:type="dxa"/>
            <w:left w:w="108" w:type="dxa"/>
            <w:bottom w:w="0" w:type="dxa"/>
            <w:right w:w="108" w:type="dxa"/>
          </w:tblCellMar>
        </w:tblPrEx>
        <w:trPr>
          <w:trHeight w:val="407"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5</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浪潮S6220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总行电信互联网楼层汇聚交换机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2023.5</w:t>
            </w:r>
          </w:p>
        </w:tc>
      </w:tr>
      <w:tr>
        <w:tblPrEx>
          <w:tblCellMar>
            <w:top w:w="0" w:type="dxa"/>
            <w:left w:w="108" w:type="dxa"/>
            <w:bottom w:w="0" w:type="dxa"/>
            <w:right w:w="108" w:type="dxa"/>
          </w:tblCellMar>
        </w:tblPrEx>
        <w:trPr>
          <w:trHeight w:val="449"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浪潮S6220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总行测试网楼层汇聚交换机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2023.5</w:t>
            </w:r>
          </w:p>
        </w:tc>
      </w:tr>
      <w:tr>
        <w:tblPrEx>
          <w:tblCellMar>
            <w:top w:w="0" w:type="dxa"/>
            <w:left w:w="108" w:type="dxa"/>
            <w:bottom w:w="0" w:type="dxa"/>
            <w:right w:w="108" w:type="dxa"/>
          </w:tblCellMar>
        </w:tblPrEx>
        <w:trPr>
          <w:trHeight w:val="463"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7</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浪潮思科6850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大楼内网楼层汇聚交换机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2018.12</w:t>
            </w:r>
          </w:p>
        </w:tc>
      </w:tr>
      <w:tr>
        <w:tblPrEx>
          <w:tblCellMar>
            <w:top w:w="0" w:type="dxa"/>
            <w:left w:w="108" w:type="dxa"/>
            <w:bottom w:w="0" w:type="dxa"/>
            <w:right w:w="108" w:type="dxa"/>
          </w:tblCellMar>
        </w:tblPrEx>
        <w:trPr>
          <w:trHeight w:val="470"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浪潮S5960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xml:space="preserve">外联交换机 </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2020.5</w:t>
            </w:r>
          </w:p>
        </w:tc>
      </w:tr>
      <w:tr>
        <w:tblPrEx>
          <w:tblCellMar>
            <w:top w:w="0" w:type="dxa"/>
            <w:left w:w="108" w:type="dxa"/>
            <w:bottom w:w="0" w:type="dxa"/>
            <w:right w:w="108" w:type="dxa"/>
          </w:tblCellMar>
        </w:tblPrEx>
        <w:trPr>
          <w:trHeight w:val="449"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9</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华为C6857</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服务器汇聚交换机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2021.11</w:t>
            </w:r>
          </w:p>
        </w:tc>
      </w:tr>
      <w:tr>
        <w:tblPrEx>
          <w:tblCellMar>
            <w:top w:w="0" w:type="dxa"/>
            <w:left w:w="108" w:type="dxa"/>
            <w:bottom w:w="0" w:type="dxa"/>
            <w:right w:w="108" w:type="dxa"/>
          </w:tblCellMar>
        </w:tblPrEx>
        <w:trPr>
          <w:trHeight w:val="449"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浪潮S6220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行内测试网络汇聚交换机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2022.8</w:t>
            </w:r>
          </w:p>
        </w:tc>
      </w:tr>
      <w:tr>
        <w:tblPrEx>
          <w:tblCellMar>
            <w:top w:w="0" w:type="dxa"/>
            <w:left w:w="108" w:type="dxa"/>
            <w:bottom w:w="0" w:type="dxa"/>
            <w:right w:w="108" w:type="dxa"/>
          </w:tblCellMar>
        </w:tblPrEx>
        <w:trPr>
          <w:trHeight w:val="434"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11</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浪潮S6220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行内77段交换机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2022.8</w:t>
            </w:r>
          </w:p>
        </w:tc>
      </w:tr>
      <w:tr>
        <w:tblPrEx>
          <w:tblCellMar>
            <w:top w:w="0" w:type="dxa"/>
            <w:left w:w="108" w:type="dxa"/>
            <w:bottom w:w="0" w:type="dxa"/>
            <w:right w:w="108" w:type="dxa"/>
          </w:tblCellMar>
        </w:tblPrEx>
        <w:trPr>
          <w:trHeight w:val="456"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12</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华为S5700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电信互联网接入交换机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2015.6</w:t>
            </w:r>
          </w:p>
        </w:tc>
      </w:tr>
      <w:tr>
        <w:tblPrEx>
          <w:tblCellMar>
            <w:top w:w="0" w:type="dxa"/>
            <w:left w:w="108" w:type="dxa"/>
            <w:bottom w:w="0" w:type="dxa"/>
            <w:right w:w="108" w:type="dxa"/>
          </w:tblCellMar>
        </w:tblPrEx>
        <w:trPr>
          <w:trHeight w:val="442"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13</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路由器</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思科7609</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监控核心</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2015.1</w:t>
            </w:r>
          </w:p>
        </w:tc>
      </w:tr>
      <w:tr>
        <w:tblPrEx>
          <w:tblCellMar>
            <w:top w:w="0" w:type="dxa"/>
            <w:left w:w="108" w:type="dxa"/>
            <w:bottom w:w="0" w:type="dxa"/>
            <w:right w:w="108" w:type="dxa"/>
          </w:tblCellMar>
        </w:tblPrEx>
        <w:trPr>
          <w:trHeight w:val="562"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14</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上网行为管理</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深信服AC-1000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外网上网认证及上网行为管理</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2023.6</w:t>
            </w:r>
          </w:p>
        </w:tc>
      </w:tr>
      <w:tr>
        <w:tblPrEx>
          <w:tblCellMar>
            <w:top w:w="0" w:type="dxa"/>
            <w:left w:w="108" w:type="dxa"/>
            <w:bottom w:w="0" w:type="dxa"/>
            <w:right w:w="108" w:type="dxa"/>
          </w:tblCellMar>
        </w:tblPrEx>
        <w:trPr>
          <w:trHeight w:val="400" w:hRule="atLeast"/>
        </w:trPr>
        <w:tc>
          <w:tcPr>
            <w:tcW w:w="580" w:type="dxa"/>
            <w:tcBorders>
              <w:top w:val="nil"/>
              <w:left w:val="single" w:color="auto" w:sz="8" w:space="0"/>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5</w:t>
            </w:r>
          </w:p>
        </w:tc>
        <w:tc>
          <w:tcPr>
            <w:tcW w:w="1433" w:type="dxa"/>
            <w:tcBorders>
              <w:top w:val="nil"/>
              <w:left w:val="nil"/>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浪潮S6220</w:t>
            </w:r>
          </w:p>
        </w:tc>
        <w:tc>
          <w:tcPr>
            <w:tcW w:w="580" w:type="dxa"/>
            <w:tcBorders>
              <w:top w:val="nil"/>
              <w:left w:val="nil"/>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电信灾备线路划分VLAN</w:t>
            </w:r>
          </w:p>
        </w:tc>
        <w:tc>
          <w:tcPr>
            <w:tcW w:w="1094" w:type="dxa"/>
            <w:tcBorders>
              <w:top w:val="nil"/>
              <w:left w:val="nil"/>
              <w:bottom w:val="single" w:color="auto" w:sz="4" w:space="0"/>
              <w:right w:val="single" w:color="auto" w:sz="4" w:space="0"/>
            </w:tcBorders>
            <w:shd w:val="clear" w:color="auto" w:fill="auto"/>
            <w:noWrap/>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2022.12</w:t>
            </w:r>
          </w:p>
        </w:tc>
      </w:tr>
      <w:tr>
        <w:tblPrEx>
          <w:tblCellMar>
            <w:top w:w="0" w:type="dxa"/>
            <w:left w:w="108" w:type="dxa"/>
            <w:bottom w:w="0" w:type="dxa"/>
            <w:right w:w="108" w:type="dxa"/>
          </w:tblCellMar>
        </w:tblPrEx>
        <w:trPr>
          <w:trHeight w:val="310"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6</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华为S5735</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服务器接入交换机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2024.9</w:t>
            </w:r>
          </w:p>
        </w:tc>
      </w:tr>
      <w:tr>
        <w:tblPrEx>
          <w:tblCellMar>
            <w:top w:w="0" w:type="dxa"/>
            <w:left w:w="108" w:type="dxa"/>
            <w:bottom w:w="0" w:type="dxa"/>
            <w:right w:w="108" w:type="dxa"/>
          </w:tblCellMar>
        </w:tblPrEx>
        <w:trPr>
          <w:trHeight w:val="310"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7</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防火墙</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深信服AF-1000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互联网出口防火墙</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2025.5</w:t>
            </w:r>
          </w:p>
        </w:tc>
      </w:tr>
      <w:tr>
        <w:tblPrEx>
          <w:tblCellMar>
            <w:top w:w="0" w:type="dxa"/>
            <w:left w:w="108" w:type="dxa"/>
            <w:bottom w:w="0" w:type="dxa"/>
            <w:right w:w="108" w:type="dxa"/>
          </w:tblCellMar>
        </w:tblPrEx>
        <w:trPr>
          <w:trHeight w:val="310"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8</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交换机</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华三S5130S</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支行移动互联网汇聚交换机</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2025.5</w:t>
            </w:r>
          </w:p>
        </w:tc>
      </w:tr>
      <w:tr>
        <w:tblPrEx>
          <w:tblCellMar>
            <w:top w:w="0" w:type="dxa"/>
            <w:left w:w="108" w:type="dxa"/>
            <w:bottom w:w="0" w:type="dxa"/>
            <w:right w:w="108" w:type="dxa"/>
          </w:tblCellMar>
        </w:tblPrEx>
        <w:trPr>
          <w:trHeight w:val="310" w:hRule="atLeast"/>
        </w:trPr>
        <w:tc>
          <w:tcPr>
            <w:tcW w:w="58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9</w:t>
            </w:r>
          </w:p>
        </w:tc>
        <w:tc>
          <w:tcPr>
            <w:tcW w:w="143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防火墙</w:t>
            </w:r>
          </w:p>
        </w:tc>
        <w:tc>
          <w:tcPr>
            <w:tcW w:w="14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深信服AF-1000</w:t>
            </w:r>
          </w:p>
        </w:tc>
        <w:tc>
          <w:tcPr>
            <w:tcW w:w="5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30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行内测试网段上联防火墙</w:t>
            </w:r>
          </w:p>
        </w:tc>
        <w:tc>
          <w:tcPr>
            <w:tcW w:w="10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2024.6</w:t>
            </w:r>
          </w:p>
        </w:tc>
      </w:tr>
    </w:tbl>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bCs/>
          <w:snapToGrid w:val="0"/>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shd w:val="clear" w:color="auto" w:fill="FFFFFF"/>
        </w:rPr>
        <w:t>服务时间：本项目采购有效期叁年，合同一年一签，</w:t>
      </w:r>
      <w:r>
        <w:rPr>
          <w:rFonts w:hint="eastAsia" w:ascii="仿宋_GB2312" w:hAnsi="仿宋_GB2312" w:eastAsia="仿宋_GB2312" w:cs="仿宋_GB2312"/>
          <w:bCs/>
          <w:snapToGrid w:val="0"/>
          <w:sz w:val="30"/>
          <w:szCs w:val="30"/>
        </w:rPr>
        <w:t>合同到期满足招标人考核指标后可续签合同，如中途投标人不再符合履约条件的，招标人可</w:t>
      </w:r>
      <w:r>
        <w:rPr>
          <w:rFonts w:hint="eastAsia" w:ascii="仿宋_GB2312" w:hAnsi="仿宋_GB2312" w:eastAsia="仿宋_GB2312" w:cs="仿宋_GB2312"/>
          <w:bCs/>
          <w:snapToGrid w:val="0"/>
          <w:sz w:val="30"/>
          <w:szCs w:val="30"/>
          <w:lang w:eastAsia="zh-CN"/>
        </w:rPr>
        <w:t>随时</w:t>
      </w:r>
      <w:r>
        <w:rPr>
          <w:rFonts w:hint="eastAsia" w:ascii="仿宋_GB2312" w:hAnsi="仿宋_GB2312" w:eastAsia="仿宋_GB2312" w:cs="仿宋_GB2312"/>
          <w:bCs/>
          <w:snapToGrid w:val="0"/>
          <w:sz w:val="30"/>
          <w:szCs w:val="30"/>
        </w:rPr>
        <w:t>终止合同，并根据自身实际情况由其他投标人按排名由高到低进行递补。</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rPr>
        <w:t>6、服务地点：丹阳</w:t>
      </w:r>
      <w:r>
        <w:rPr>
          <w:rFonts w:hint="eastAsia" w:ascii="仿宋_GB2312" w:hAnsi="仿宋_GB2312" w:eastAsia="仿宋_GB2312" w:cs="仿宋_GB2312"/>
          <w:sz w:val="30"/>
          <w:szCs w:val="30"/>
          <w:shd w:val="clear" w:color="auto" w:fill="FFFFFF"/>
          <w:lang w:eastAsia="zh-CN"/>
        </w:rPr>
        <w:t>农商银行</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val="en-US" w:eastAsia="zh-CN"/>
        </w:rPr>
        <w:t>7、本项目采用资格后审法。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kern w:val="0"/>
          <w:sz w:val="30"/>
          <w:szCs w:val="30"/>
        </w:rPr>
        <w:t>二、</w:t>
      </w:r>
      <w:r>
        <w:rPr>
          <w:rFonts w:hint="eastAsia" w:ascii="仿宋_GB2312" w:hAnsi="仿宋_GB2312" w:eastAsia="仿宋_GB2312" w:cs="仿宋_GB2312"/>
          <w:sz w:val="30"/>
          <w:szCs w:val="30"/>
        </w:rPr>
        <w:t>投标人基本资格要求</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1.具有独立承担民事责任能力的企业；</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2.具有良好的商业信誉和健全的财务会计制度；</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3.具有履行合同所必需的专业技术能力、备品备件；</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4.有依法缴纳税收和社会保障资金的良好记录；</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5.未被列入联合银行集中采购供应商禁入名单且处于禁入期内，或者近三年内在参与本行采购活动中未发生过重大实质性违约情形；</w:t>
      </w:r>
    </w:p>
    <w:p>
      <w:pPr>
        <w:pStyle w:val="5"/>
        <w:spacing w:line="500" w:lineRule="exact"/>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6.供应商未被列入失信被执行人、重大税收违法失信主体、政府采购严重违法失信行为记录名单；</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7、投标人单位负责人为同一人或者存在直接控股、管理关系的不同投标人不得参加本项目同一包的投标；</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8、本项目不接受联合体投标，不得转包。</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sz w:val="30"/>
          <w:szCs w:val="30"/>
          <w:shd w:val="clear" w:color="auto" w:fill="FFFFFF"/>
          <w:lang w:eastAsia="zh-CN"/>
        </w:rPr>
        <w:t>三</w:t>
      </w:r>
      <w:r>
        <w:rPr>
          <w:rFonts w:hint="eastAsia" w:ascii="仿宋_GB2312" w:hAnsi="仿宋_GB2312" w:eastAsia="仿宋_GB2312" w:cs="仿宋_GB2312"/>
          <w:sz w:val="30"/>
          <w:szCs w:val="30"/>
          <w:shd w:val="clear" w:color="auto" w:fill="FFFFFF"/>
        </w:rPr>
        <w:t>、项目具体要求</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（一）项目人员配置</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1.投标人应为本项目组建一个固定的维保服务团队，提供7×24小时服务响应。服务团队至少包括项目经理1名。</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2. 技术工程师须具备扎实的TCP/IP基础，熟悉常见的各种路由交换协议（如：RIP，OSPF，IS-IS，BGP等协议）。</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3.技术工程师须需精通主流交换机、路由器产品的调试与优化，具备江苏省农商行系统网络项目实施和维护经验。</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4.按招标人内控管理要求提供维护工程师身份信息、征信信息及其他相关信息。</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（二）网络规划与调整服务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投标人应根据招标人上级机构的网络管理要求对招标人网络架构、网络设备进行分析和研究，主动或根据招标人要求提供网络规划、优化意见和建议，协助开展网络优化和调整。</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（三）设备安全服务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 xml:space="preserve"> 对维保设备进行安全检查，及时修复或通知并协助招标人修复存在的设备安全漏洞。</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（四）预防性维护服务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 xml:space="preserve">每个季度（或重大节假日或其他重要事件前），投标人对招标人的维护设备进行全面测试，确认设备安全状态、运行状态，检查系统错误记录，排除隐患故障并进行设备保养工作，按招标人要求进行网络切换测试，出具维护（巡检）报告。      </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每年度结束后次月内，投标人应提供当年度维保报告，详细报告年度维保情况、设备运行情况、设备当前状态、风险情况等，为招标人网络安全运行提供决策依据。</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（五）设备修复服务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1.每天（含节假日）24小时，投标人接到招标人报障通知电话（或线上通知，如微信等）后，应在20分钟内响应，并认真进行故障分析判定等准备工作，优先提供远程故障排查。</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2.确认问题需要现场服务，必须3小时之内到达现场，并在3小时内修复因为配置和软件的问题。</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3.如果是硬件故障，提供原厂备件更换，备件包括设备及其附带的光模块、光转电模块，应当是设备原厂提供的全新、未拆封产品，更换前需经招标人检查确认。原厂备件更换时长不超过15个日历天，如因原厂备件到货周期较长，可使用原厂已拆封产品临时代替，确保招标人网络设备恢复时间从报障到修复不超过9小时。</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（六）备品（备件）寄存服务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投标人应按照招标人要求在招标人处寄存适当的、可用的备品（备件）。根据招标人现场情况，至少提供寄存备件如下：一台高端路由器、一台高端三层交换机、一台天融信防火墙，所供型号需满足现场紧急替换使用。根据特殊时期招标人应急所需，如有其他备件寄存需求可由双方根据情况协商确定，并可动态调整。</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（七）设备迁移服务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招标人因管理需要更改网络设备放置地点时（机房整体搬迁除外），投标人免费提供搬迁方案，协助设备搬迁，进行搬迁后验证，并且搬迁后的设备维保服务仍然有效。</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（八）技术咨询服务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投标人提供每天（含节假日）24小时电话服务，在招标人发现系统硬件或软件发生异常或遇到难以解决的系统疑难问题给予服务响应。</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（九）应急演练服务</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投标人每年应当至少提供2次应急演练服务，在进行重大系统调整与重大保障活动时，提供现场值守服务（每年最长不超过10个日历天）。</w:t>
      </w:r>
    </w:p>
    <w:p>
      <w:pPr>
        <w:spacing w:line="360" w:lineRule="auto"/>
        <w:ind w:firstLine="600" w:firstLineChars="200"/>
        <w:rPr>
          <w:rFonts w:hint="eastAsia" w:ascii="仿宋_GB2312" w:hAnsi="仿宋_GB2312" w:eastAsia="仿宋_GB2312" w:cs="仿宋_GB2312"/>
          <w:bCs/>
          <w:snapToGrid w:val="0"/>
          <w:color w:val="auto"/>
          <w:kern w:val="2"/>
          <w:sz w:val="30"/>
          <w:szCs w:val="30"/>
          <w:lang w:val="en-US" w:eastAsia="zh-CN" w:bidi="ar-SA"/>
        </w:rPr>
      </w:pPr>
      <w:r>
        <w:rPr>
          <w:rFonts w:hint="eastAsia" w:ascii="仿宋_GB2312" w:hAnsi="仿宋_GB2312" w:eastAsia="仿宋_GB2312" w:cs="仿宋_GB2312"/>
          <w:bCs/>
          <w:snapToGrid w:val="0"/>
          <w:color w:val="auto"/>
          <w:kern w:val="2"/>
          <w:sz w:val="30"/>
          <w:szCs w:val="30"/>
          <w:lang w:val="en-US" w:eastAsia="zh-CN" w:bidi="ar-SA"/>
        </w:rPr>
        <w:t>（十）其他要求</w:t>
      </w:r>
    </w:p>
    <w:p>
      <w:pPr>
        <w:spacing w:line="360" w:lineRule="auto"/>
        <w:ind w:firstLine="600" w:firstLineChars="200"/>
        <w:rPr>
          <w:rFonts w:ascii="仿宋" w:hAnsi="仿宋" w:eastAsia="仿宋" w:cs="仿宋"/>
          <w:sz w:val="28"/>
          <w:szCs w:val="28"/>
        </w:rPr>
      </w:pPr>
      <w:r>
        <w:rPr>
          <w:rFonts w:hint="eastAsia" w:ascii="仿宋_GB2312" w:hAnsi="仿宋_GB2312" w:eastAsia="仿宋_GB2312" w:cs="仿宋_GB2312"/>
          <w:bCs/>
          <w:snapToGrid w:val="0"/>
          <w:color w:val="auto"/>
          <w:kern w:val="2"/>
          <w:sz w:val="30"/>
          <w:szCs w:val="30"/>
          <w:lang w:val="en-US" w:eastAsia="zh-CN" w:bidi="ar-SA"/>
        </w:rPr>
        <w:t>对所有维护设备，投标人应根据每次故障维修报告和预防性维护报告建立技术档案，详细记录设备型号、故障时间、故障类型、维护方法、维护质量、预防措施及维护时间和维护人员等信息。</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四</w:t>
      </w:r>
      <w:r>
        <w:rPr>
          <w:rFonts w:hint="eastAsia" w:ascii="仿宋_GB2312" w:hAnsi="仿宋_GB2312" w:eastAsia="仿宋_GB2312" w:cs="仿宋_GB2312"/>
          <w:color w:val="000000"/>
          <w:kern w:val="0"/>
          <w:sz w:val="30"/>
          <w:szCs w:val="30"/>
        </w:rPr>
        <w:t>、报名材料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1、营业执照复印件；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2、法人授权委托书（格式见附件1）；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3、法定代表人及被授权人身份证复印件；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4、供应商报名表（格式见附件2）。</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注：以上第1、3项提供复印件，第2、4项提供原件，所有材料须加盖公章。纸质材料送至丹阳市开发区金陵西路152号丹阳农商银行9楼行政保卫部蒋和俊处。丹阳农商银行将对收到的报名材料进行</w:t>
      </w:r>
      <w:r>
        <w:rPr>
          <w:rFonts w:hint="eastAsia" w:ascii="仿宋_GB2312" w:hAnsi="仿宋_GB2312" w:eastAsia="仿宋_GB2312" w:cs="仿宋_GB2312"/>
          <w:color w:val="000000"/>
          <w:kern w:val="0"/>
          <w:sz w:val="30"/>
          <w:szCs w:val="30"/>
          <w:lang w:eastAsia="zh-CN"/>
        </w:rPr>
        <w:t>审核，审核通过后，招标人将招标文件发送到供应商报名表中所填邮箱，请注意查收回复。</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四、报名时间、地点及联系人</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1、报名时间：从本公告发布之日起三个工作日内（工作日08:30-17:00），符合条件的企业均可报名。</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2、报名地点：丹阳市开发区金陵西路152号。</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w:t>
      </w:r>
      <w:r>
        <w:rPr>
          <w:rFonts w:hint="eastAsia" w:ascii="仿宋_GB2312" w:hAnsi="仿宋_GB2312" w:eastAsia="仿宋_GB2312" w:cs="仿宋_GB2312"/>
          <w:color w:val="000000"/>
          <w:kern w:val="0"/>
          <w:sz w:val="30"/>
          <w:szCs w:val="30"/>
          <w:lang w:eastAsia="zh-CN"/>
        </w:rPr>
        <w:t>招标</w:t>
      </w:r>
      <w:r>
        <w:rPr>
          <w:rFonts w:hint="eastAsia" w:ascii="仿宋_GB2312" w:hAnsi="仿宋_GB2312" w:eastAsia="仿宋_GB2312" w:cs="仿宋_GB2312"/>
          <w:color w:val="000000"/>
          <w:kern w:val="0"/>
          <w:sz w:val="30"/>
          <w:szCs w:val="30"/>
        </w:rPr>
        <w:t>联系人：蒋先生，联系电话：0511-86958001。</w:t>
      </w:r>
    </w:p>
    <w:p>
      <w:pPr>
        <w:keepNext w:val="0"/>
        <w:keepLines w:val="0"/>
        <w:pageBreakBefore w:val="0"/>
        <w:widowControl/>
        <w:kinsoku/>
        <w:wordWrap/>
        <w:overflowPunct/>
        <w:topLinePunct w:val="0"/>
        <w:autoSpaceDE/>
        <w:autoSpaceDN/>
        <w:bidi w:val="0"/>
        <w:adjustRightInd w:val="0"/>
        <w:snapToGrid w:val="0"/>
        <w:spacing w:line="520" w:lineRule="exact"/>
        <w:ind w:firstLine="1200" w:firstLineChars="4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技术</w:t>
      </w:r>
      <w:r>
        <w:rPr>
          <w:rFonts w:hint="eastAsia" w:ascii="仿宋_GB2312" w:hAnsi="仿宋_GB2312" w:eastAsia="仿宋_GB2312" w:cs="仿宋_GB2312"/>
          <w:color w:val="000000"/>
          <w:kern w:val="0"/>
          <w:sz w:val="30"/>
          <w:szCs w:val="30"/>
        </w:rPr>
        <w:t>联系人：</w:t>
      </w:r>
      <w:r>
        <w:rPr>
          <w:rFonts w:hint="eastAsia" w:ascii="仿宋_GB2312" w:hAnsi="仿宋_GB2312" w:eastAsia="仿宋_GB2312" w:cs="仿宋_GB2312"/>
          <w:color w:val="000000"/>
          <w:kern w:val="0"/>
          <w:sz w:val="30"/>
          <w:szCs w:val="30"/>
          <w:lang w:eastAsia="zh-CN"/>
        </w:rPr>
        <w:t>汤</w:t>
      </w:r>
      <w:r>
        <w:rPr>
          <w:rFonts w:hint="eastAsia" w:ascii="仿宋_GB2312" w:hAnsi="仿宋_GB2312" w:eastAsia="仿宋_GB2312" w:cs="仿宋_GB2312"/>
          <w:color w:val="000000"/>
          <w:kern w:val="0"/>
          <w:sz w:val="30"/>
          <w:szCs w:val="30"/>
        </w:rPr>
        <w:t>先生，联系电话：0511-</w:t>
      </w:r>
      <w:r>
        <w:rPr>
          <w:rFonts w:hint="eastAsia" w:ascii="仿宋_GB2312" w:hAnsi="仿宋_GB2312" w:eastAsia="仿宋_GB2312" w:cs="仿宋_GB2312"/>
          <w:color w:val="000000"/>
          <w:kern w:val="0"/>
          <w:sz w:val="30"/>
          <w:szCs w:val="30"/>
          <w:lang w:val="en-US" w:eastAsia="zh-CN"/>
        </w:rPr>
        <w:t>86800101</w:t>
      </w:r>
      <w:r>
        <w:rPr>
          <w:rFonts w:hint="eastAsia" w:ascii="仿宋_GB2312" w:hAnsi="仿宋_GB2312" w:eastAsia="仿宋_GB2312" w:cs="仿宋_GB2312"/>
          <w:color w:val="000000"/>
          <w:kern w:val="0"/>
          <w:sz w:val="30"/>
          <w:szCs w:val="30"/>
        </w:rPr>
        <w:t>。</w:t>
      </w:r>
    </w:p>
    <w:p>
      <w:pPr>
        <w:pStyle w:val="2"/>
        <w:rPr>
          <w:rFonts w:hint="eastAsia" w:ascii="仿宋_GB2312" w:hAnsi="仿宋_GB2312" w:eastAsia="仿宋_GB2312" w:cs="仿宋_GB2312"/>
          <w:color w:val="000000"/>
          <w:kern w:val="0"/>
          <w:sz w:val="30"/>
          <w:szCs w:val="30"/>
        </w:rPr>
      </w:pPr>
    </w:p>
    <w:p>
      <w:pPr>
        <w:rPr>
          <w:rFonts w:hint="eastAsia"/>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p>
    <w:p>
      <w:pPr>
        <w:widowControl/>
        <w:spacing w:line="340" w:lineRule="atLeast"/>
        <w:rPr>
          <w:rFonts w:hint="eastAsia" w:ascii="微软雅黑" w:hAnsi="微软雅黑" w:eastAsia="微软雅黑" w:cs="宋体"/>
          <w:color w:val="000000"/>
          <w:kern w:val="0"/>
          <w:sz w:val="19"/>
          <w:szCs w:val="19"/>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附件1:</w:t>
      </w:r>
    </w:p>
    <w:p>
      <w:pPr>
        <w:pStyle w:val="2"/>
        <w:rPr>
          <w:rFonts w:hint="eastAsia"/>
        </w:rPr>
      </w:pPr>
    </w:p>
    <w:p>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法人授权委托书</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本授权书于   年  月 日签字生效，特此声明。</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法定代表人：（签字并加盖公章）</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被授权人：（签字）</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附件2：</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丹阳农商银行供应商信息表</w:t>
      </w:r>
    </w:p>
    <w:tbl>
      <w:tblPr>
        <w:tblStyle w:val="9"/>
        <w:tblW w:w="8771"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1609"/>
        <w:gridCol w:w="2287"/>
        <w:gridCol w:w="720"/>
        <w:gridCol w:w="1545"/>
        <w:gridCol w:w="977"/>
        <w:gridCol w:w="163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一、供应商基本信息</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公司名称</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法人代表</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通讯地址</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公司网页</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传真：</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联系人职务</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联系电话1</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联系电话2</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E-mail</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所属地区</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公司创立时间</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所有权性质</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□外国独资企业□中外合资企业□国营企业□民营企业□上市公司</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二、供应商资产情况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注册资本</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总资产</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三、公司股东情况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公司股东结构(股份在5%以上的股东)</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股东名称</w:t>
            </w: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持股比例</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四、供应商经营情况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主要经营范围</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主要经营区域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营业执照号码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营业执照起止期限</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五、供应商财务情况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近三年经营业绩</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年销售总额(万元)</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利润率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六、供应商管理情况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公司管理人员情况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职务</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姓名</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办公电话</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销售总监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技术总监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财务总监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管理团队知识结构</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博士(后)_____人      硕士_____人    本科_____人    大专____人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高级工程师_______人   中级工程师_______人 其他________人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公司总人数</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管理体系认证</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认证起止日期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七、产品情况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主要项目或产品介绍（含品名、规格、价格、行业标准）</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与产品有关的任何第三方资质认证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认证名称</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认证机构</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认证起止期限</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公司获奖情况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内容</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颁发机构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八、客户情况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主要客户介绍</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客户名称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与其他银行合作情况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银行名称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与丹阳农商行合作情况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机构名称（总行或XX分行）</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供应商评价</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备注</w:t>
            </w:r>
          </w:p>
        </w:tc>
        <w:tc>
          <w:tcPr>
            <w:tcW w:w="7162"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bl>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填表人：                               填表日期：</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填表须知：</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一、填表注意事项：</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1.此表由丹阳农商行潜在供应商填写，作为我单位建立供应商库，择优选取合作供应商的参考资料，请相关人员务必仔细阅读、认真填写《供应商信息表》；</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2.供应商应承诺本表中填写的内容及所提交的相关材料真实、可靠；若有任何弄虚作假，本企业将被丹阳农商行取消潜在供应商资格；</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3.我单位承诺对供应商所提供的相关信息严格保密，绝不外泄；</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4.据实填写此调查表时，若需增加附页，附页纸张大小必须与本调查表相同，表格格式、项目、内容等必须与调查表中完全一致。</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二、填表说明</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1.联系人联系方式应常用且有效；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2.公司网址、传真、通讯地址以及邮编应有效；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3.注册资本按营业执照上注册资本金额填写；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4.所属地区为公司注册所在地；</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5.公司总资产按照审计报告后附的财务报表相关数据填写；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6.主要经营范围按营业执照上经营范围填写；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7.销售总额以及利润率应填写近三年的销售总额及利润率；</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8.公司管理人员应为现有管理人员，其联系方式应常用及有效；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9.管理体系认证是指ISO系列质量管理认证体系中的任何一种；</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10.与产品有关的任何第三方资质认证是指该公司所处行业或所生产产品的任何强制性认证或者自愿性认证，包括ISO9001、ISO9002、ISO14001、UL、VDE、EMC、CCEE、CE等认证；</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11.如公司填写企业获奖情况一栏，请出具相应的获奖证明，如证书、网址、期刊名称等；</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12.供应商评价栏由我单位相关部门填写，供应商类别为“现有供应商、潜在供应商、黑名单供应商”。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金山简魏碑">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43EA3D"/>
    <w:multiLevelType w:val="multilevel"/>
    <w:tmpl w:val="F943EA3D"/>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pStyle w:val="3"/>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
    <w:nsid w:val="00000005"/>
    <w:multiLevelType w:val="multilevel"/>
    <w:tmpl w:val="00000005"/>
    <w:lvl w:ilvl="0" w:tentative="0">
      <w:start w:val="1"/>
      <w:numFmt w:val="decimal"/>
      <w:pStyle w:val="16"/>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14CC"/>
    <w:rsid w:val="000001E8"/>
    <w:rsid w:val="00000467"/>
    <w:rsid w:val="000005F5"/>
    <w:rsid w:val="000006FD"/>
    <w:rsid w:val="000011CE"/>
    <w:rsid w:val="000014D6"/>
    <w:rsid w:val="00001679"/>
    <w:rsid w:val="000027DA"/>
    <w:rsid w:val="00002BA4"/>
    <w:rsid w:val="00002C88"/>
    <w:rsid w:val="000033E3"/>
    <w:rsid w:val="0000366F"/>
    <w:rsid w:val="00003C9B"/>
    <w:rsid w:val="00003D99"/>
    <w:rsid w:val="000045B8"/>
    <w:rsid w:val="0000542B"/>
    <w:rsid w:val="000058C0"/>
    <w:rsid w:val="00006BB0"/>
    <w:rsid w:val="00006D10"/>
    <w:rsid w:val="000074F4"/>
    <w:rsid w:val="00010CF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3BDB"/>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4599"/>
    <w:rsid w:val="000A5170"/>
    <w:rsid w:val="000A6478"/>
    <w:rsid w:val="000A716E"/>
    <w:rsid w:val="000A767F"/>
    <w:rsid w:val="000A7915"/>
    <w:rsid w:val="000B028F"/>
    <w:rsid w:val="000B02B6"/>
    <w:rsid w:val="000B05AB"/>
    <w:rsid w:val="000B0856"/>
    <w:rsid w:val="000B1096"/>
    <w:rsid w:val="000B1773"/>
    <w:rsid w:val="000B298D"/>
    <w:rsid w:val="000B2A95"/>
    <w:rsid w:val="000B38FA"/>
    <w:rsid w:val="000B3FA7"/>
    <w:rsid w:val="000B45DF"/>
    <w:rsid w:val="000B48AC"/>
    <w:rsid w:val="000B4DCA"/>
    <w:rsid w:val="000B574D"/>
    <w:rsid w:val="000B5EE3"/>
    <w:rsid w:val="000B5FBC"/>
    <w:rsid w:val="000B638D"/>
    <w:rsid w:val="000B6496"/>
    <w:rsid w:val="000B6DC8"/>
    <w:rsid w:val="000B6FE1"/>
    <w:rsid w:val="000B784D"/>
    <w:rsid w:val="000B7AE6"/>
    <w:rsid w:val="000B7E7D"/>
    <w:rsid w:val="000C006C"/>
    <w:rsid w:val="000C0942"/>
    <w:rsid w:val="000C1072"/>
    <w:rsid w:val="000C1193"/>
    <w:rsid w:val="000C243D"/>
    <w:rsid w:val="000C27DC"/>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6A08"/>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33A"/>
    <w:rsid w:val="001036BF"/>
    <w:rsid w:val="00103BF1"/>
    <w:rsid w:val="00103E10"/>
    <w:rsid w:val="00104B07"/>
    <w:rsid w:val="0010699A"/>
    <w:rsid w:val="00110143"/>
    <w:rsid w:val="00110ACC"/>
    <w:rsid w:val="00110B27"/>
    <w:rsid w:val="00110CC3"/>
    <w:rsid w:val="00110F40"/>
    <w:rsid w:val="001114A0"/>
    <w:rsid w:val="00111AE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A7F"/>
    <w:rsid w:val="00141D19"/>
    <w:rsid w:val="001426DC"/>
    <w:rsid w:val="00143034"/>
    <w:rsid w:val="00143838"/>
    <w:rsid w:val="00143B16"/>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145"/>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3F9C"/>
    <w:rsid w:val="00194039"/>
    <w:rsid w:val="00194173"/>
    <w:rsid w:val="00194947"/>
    <w:rsid w:val="00194BAB"/>
    <w:rsid w:val="00194FD4"/>
    <w:rsid w:val="00195EEF"/>
    <w:rsid w:val="00195FE4"/>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15D"/>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3A27"/>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2EA9"/>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3004D1"/>
    <w:rsid w:val="0030158E"/>
    <w:rsid w:val="00301D5A"/>
    <w:rsid w:val="0030346B"/>
    <w:rsid w:val="00303D89"/>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1730E"/>
    <w:rsid w:val="00320A41"/>
    <w:rsid w:val="00320B10"/>
    <w:rsid w:val="00321754"/>
    <w:rsid w:val="00321E5E"/>
    <w:rsid w:val="00321E86"/>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067"/>
    <w:rsid w:val="00331BB3"/>
    <w:rsid w:val="00331E16"/>
    <w:rsid w:val="00332485"/>
    <w:rsid w:val="00332BE8"/>
    <w:rsid w:val="00332C80"/>
    <w:rsid w:val="00333355"/>
    <w:rsid w:val="003334D0"/>
    <w:rsid w:val="00333784"/>
    <w:rsid w:val="0033381A"/>
    <w:rsid w:val="00333AB9"/>
    <w:rsid w:val="00333BFF"/>
    <w:rsid w:val="00333D45"/>
    <w:rsid w:val="00334621"/>
    <w:rsid w:val="00334989"/>
    <w:rsid w:val="00334B85"/>
    <w:rsid w:val="00334C6F"/>
    <w:rsid w:val="00335CAA"/>
    <w:rsid w:val="00335E27"/>
    <w:rsid w:val="00336B93"/>
    <w:rsid w:val="003372DB"/>
    <w:rsid w:val="00337CDD"/>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6E0"/>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0DAF"/>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78D"/>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55B4"/>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4E3"/>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A3"/>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A9A"/>
    <w:rsid w:val="00487D9F"/>
    <w:rsid w:val="00487FCF"/>
    <w:rsid w:val="00490DF4"/>
    <w:rsid w:val="00491998"/>
    <w:rsid w:val="004928A2"/>
    <w:rsid w:val="00493B0A"/>
    <w:rsid w:val="004947D2"/>
    <w:rsid w:val="00495937"/>
    <w:rsid w:val="004963C3"/>
    <w:rsid w:val="004964F8"/>
    <w:rsid w:val="00496B84"/>
    <w:rsid w:val="00496E4A"/>
    <w:rsid w:val="00497393"/>
    <w:rsid w:val="004975EB"/>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4C0"/>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1843"/>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0AD"/>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764"/>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B4A"/>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19D"/>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A4D"/>
    <w:rsid w:val="00732CD6"/>
    <w:rsid w:val="00732D50"/>
    <w:rsid w:val="00732D9E"/>
    <w:rsid w:val="00733400"/>
    <w:rsid w:val="00733CAE"/>
    <w:rsid w:val="00733FF1"/>
    <w:rsid w:val="00734057"/>
    <w:rsid w:val="00734094"/>
    <w:rsid w:val="0073412F"/>
    <w:rsid w:val="007349E0"/>
    <w:rsid w:val="0073506F"/>
    <w:rsid w:val="00737184"/>
    <w:rsid w:val="007377A4"/>
    <w:rsid w:val="00737BE2"/>
    <w:rsid w:val="00737E1D"/>
    <w:rsid w:val="00740B13"/>
    <w:rsid w:val="007415AA"/>
    <w:rsid w:val="007416FD"/>
    <w:rsid w:val="0074220E"/>
    <w:rsid w:val="00742235"/>
    <w:rsid w:val="00742436"/>
    <w:rsid w:val="00742DE5"/>
    <w:rsid w:val="007431EB"/>
    <w:rsid w:val="007435D9"/>
    <w:rsid w:val="0074397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11AD"/>
    <w:rsid w:val="007822AE"/>
    <w:rsid w:val="00782A60"/>
    <w:rsid w:val="00782F9C"/>
    <w:rsid w:val="00783B3D"/>
    <w:rsid w:val="00784991"/>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3B22"/>
    <w:rsid w:val="007B4F5D"/>
    <w:rsid w:val="007B502A"/>
    <w:rsid w:val="007B5030"/>
    <w:rsid w:val="007B559D"/>
    <w:rsid w:val="007B58CA"/>
    <w:rsid w:val="007B60DF"/>
    <w:rsid w:val="007B6220"/>
    <w:rsid w:val="007B77AD"/>
    <w:rsid w:val="007B785A"/>
    <w:rsid w:val="007B7A93"/>
    <w:rsid w:val="007B7B4F"/>
    <w:rsid w:val="007B7BA7"/>
    <w:rsid w:val="007B7E2A"/>
    <w:rsid w:val="007C026B"/>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144C"/>
    <w:rsid w:val="007D1FB3"/>
    <w:rsid w:val="007D21E6"/>
    <w:rsid w:val="007D2433"/>
    <w:rsid w:val="007D2632"/>
    <w:rsid w:val="007D27B0"/>
    <w:rsid w:val="007D32CF"/>
    <w:rsid w:val="007D3790"/>
    <w:rsid w:val="007D3E76"/>
    <w:rsid w:val="007D52C1"/>
    <w:rsid w:val="007D5442"/>
    <w:rsid w:val="007D561E"/>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502"/>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810"/>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39C"/>
    <w:rsid w:val="00846DA0"/>
    <w:rsid w:val="008472AC"/>
    <w:rsid w:val="00847C64"/>
    <w:rsid w:val="00847D27"/>
    <w:rsid w:val="00850E2F"/>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7B1"/>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247"/>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5DF2"/>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785"/>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0E4"/>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372"/>
    <w:rsid w:val="00A00EC4"/>
    <w:rsid w:val="00A01764"/>
    <w:rsid w:val="00A019F3"/>
    <w:rsid w:val="00A02707"/>
    <w:rsid w:val="00A034C1"/>
    <w:rsid w:val="00A03B9F"/>
    <w:rsid w:val="00A03C3A"/>
    <w:rsid w:val="00A041D4"/>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19F0"/>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0F6E"/>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7B"/>
    <w:rsid w:val="00A72BB2"/>
    <w:rsid w:val="00A72E8F"/>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0AD"/>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C45"/>
    <w:rsid w:val="00AD43AC"/>
    <w:rsid w:val="00AD47B0"/>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648"/>
    <w:rsid w:val="00AE288B"/>
    <w:rsid w:val="00AE2B15"/>
    <w:rsid w:val="00AE2EB7"/>
    <w:rsid w:val="00AE2F03"/>
    <w:rsid w:val="00AE3760"/>
    <w:rsid w:val="00AE3975"/>
    <w:rsid w:val="00AE3EB3"/>
    <w:rsid w:val="00AE4BD8"/>
    <w:rsid w:val="00AE50B2"/>
    <w:rsid w:val="00AE5DD3"/>
    <w:rsid w:val="00AE6709"/>
    <w:rsid w:val="00AE6E7B"/>
    <w:rsid w:val="00AF033C"/>
    <w:rsid w:val="00AF12A9"/>
    <w:rsid w:val="00AF165A"/>
    <w:rsid w:val="00AF2046"/>
    <w:rsid w:val="00AF2620"/>
    <w:rsid w:val="00AF289F"/>
    <w:rsid w:val="00AF2941"/>
    <w:rsid w:val="00AF2AD7"/>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24"/>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5E48"/>
    <w:rsid w:val="00B16C83"/>
    <w:rsid w:val="00B174D7"/>
    <w:rsid w:val="00B17A8E"/>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53E1"/>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6C83"/>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0F9"/>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996"/>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954"/>
    <w:rsid w:val="00C400DB"/>
    <w:rsid w:val="00C412D3"/>
    <w:rsid w:val="00C4176C"/>
    <w:rsid w:val="00C418D0"/>
    <w:rsid w:val="00C42171"/>
    <w:rsid w:val="00C42768"/>
    <w:rsid w:val="00C428C7"/>
    <w:rsid w:val="00C42DCF"/>
    <w:rsid w:val="00C430D2"/>
    <w:rsid w:val="00C43B89"/>
    <w:rsid w:val="00C44CAC"/>
    <w:rsid w:val="00C44E1D"/>
    <w:rsid w:val="00C45CD3"/>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0F9B"/>
    <w:rsid w:val="00C71CEB"/>
    <w:rsid w:val="00C722C1"/>
    <w:rsid w:val="00C73C4E"/>
    <w:rsid w:val="00C73CAF"/>
    <w:rsid w:val="00C73DDA"/>
    <w:rsid w:val="00C74621"/>
    <w:rsid w:val="00C74CD7"/>
    <w:rsid w:val="00C752BC"/>
    <w:rsid w:val="00C75809"/>
    <w:rsid w:val="00C75A7B"/>
    <w:rsid w:val="00C75EEC"/>
    <w:rsid w:val="00C76517"/>
    <w:rsid w:val="00C76969"/>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CF7A13"/>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67F"/>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4C2"/>
    <w:rsid w:val="00D365F3"/>
    <w:rsid w:val="00D36CD0"/>
    <w:rsid w:val="00D375CE"/>
    <w:rsid w:val="00D377DC"/>
    <w:rsid w:val="00D40567"/>
    <w:rsid w:val="00D410E0"/>
    <w:rsid w:val="00D4144C"/>
    <w:rsid w:val="00D41796"/>
    <w:rsid w:val="00D41FA6"/>
    <w:rsid w:val="00D421FF"/>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3EC6"/>
    <w:rsid w:val="00D54266"/>
    <w:rsid w:val="00D54F32"/>
    <w:rsid w:val="00D55A98"/>
    <w:rsid w:val="00D56CD3"/>
    <w:rsid w:val="00D56D4F"/>
    <w:rsid w:val="00D56EC8"/>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42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0E36"/>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BD4"/>
    <w:rsid w:val="00DB6D36"/>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397"/>
    <w:rsid w:val="00DD44E5"/>
    <w:rsid w:val="00DD453D"/>
    <w:rsid w:val="00DD483B"/>
    <w:rsid w:val="00DD5A96"/>
    <w:rsid w:val="00DD5AE5"/>
    <w:rsid w:val="00DD5B74"/>
    <w:rsid w:val="00DD5B98"/>
    <w:rsid w:val="00DE05DB"/>
    <w:rsid w:val="00DE07F1"/>
    <w:rsid w:val="00DE0D0F"/>
    <w:rsid w:val="00DE0DE0"/>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80D"/>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092"/>
    <w:rsid w:val="00E02713"/>
    <w:rsid w:val="00E0308A"/>
    <w:rsid w:val="00E04344"/>
    <w:rsid w:val="00E04BB3"/>
    <w:rsid w:val="00E05F13"/>
    <w:rsid w:val="00E06FF8"/>
    <w:rsid w:val="00E07914"/>
    <w:rsid w:val="00E10A13"/>
    <w:rsid w:val="00E10F79"/>
    <w:rsid w:val="00E114C3"/>
    <w:rsid w:val="00E11E20"/>
    <w:rsid w:val="00E1280D"/>
    <w:rsid w:val="00E1362C"/>
    <w:rsid w:val="00E139B3"/>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26B79"/>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870F1"/>
    <w:rsid w:val="00E9039E"/>
    <w:rsid w:val="00E90FB4"/>
    <w:rsid w:val="00E9112F"/>
    <w:rsid w:val="00E911B7"/>
    <w:rsid w:val="00E91A2F"/>
    <w:rsid w:val="00E91B2C"/>
    <w:rsid w:val="00E9277A"/>
    <w:rsid w:val="00E92915"/>
    <w:rsid w:val="00E92991"/>
    <w:rsid w:val="00E92E6C"/>
    <w:rsid w:val="00E92F3B"/>
    <w:rsid w:val="00E93411"/>
    <w:rsid w:val="00E93C8B"/>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0214"/>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666"/>
    <w:rsid w:val="00ED68CA"/>
    <w:rsid w:val="00ED6B2B"/>
    <w:rsid w:val="00ED75C5"/>
    <w:rsid w:val="00EE0089"/>
    <w:rsid w:val="00EE01DE"/>
    <w:rsid w:val="00EE071C"/>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486"/>
    <w:rsid w:val="00EF58A1"/>
    <w:rsid w:val="00EF5C04"/>
    <w:rsid w:val="00EF5F4F"/>
    <w:rsid w:val="00EF636D"/>
    <w:rsid w:val="00EF753D"/>
    <w:rsid w:val="00EF7EE4"/>
    <w:rsid w:val="00EF7F24"/>
    <w:rsid w:val="00F00C22"/>
    <w:rsid w:val="00F014CC"/>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6E06"/>
    <w:rsid w:val="00F478E6"/>
    <w:rsid w:val="00F51B6F"/>
    <w:rsid w:val="00F51C26"/>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774"/>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54FB"/>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58B"/>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011B2CFA"/>
    <w:rsid w:val="18162C87"/>
    <w:rsid w:val="187E715E"/>
    <w:rsid w:val="1CA07FD5"/>
    <w:rsid w:val="22270859"/>
    <w:rsid w:val="2492397E"/>
    <w:rsid w:val="27F406CE"/>
    <w:rsid w:val="2CB20BC6"/>
    <w:rsid w:val="3DA560D3"/>
    <w:rsid w:val="3FA14C58"/>
    <w:rsid w:val="43B97519"/>
    <w:rsid w:val="49766AF5"/>
    <w:rsid w:val="498E3C3D"/>
    <w:rsid w:val="4A176EBE"/>
    <w:rsid w:val="4B54714C"/>
    <w:rsid w:val="4CD559D9"/>
    <w:rsid w:val="4F013A01"/>
    <w:rsid w:val="5BA861F2"/>
    <w:rsid w:val="5EC419B0"/>
    <w:rsid w:val="62847721"/>
    <w:rsid w:val="6EE21406"/>
    <w:rsid w:val="77D116A8"/>
    <w:rsid w:val="78C12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9"/>
    <w:pPr>
      <w:keepNext/>
      <w:keepLines/>
      <w:widowControl w:val="0"/>
      <w:numPr>
        <w:ilvl w:val="2"/>
        <w:numId w:val="1"/>
      </w:numPr>
      <w:ind w:hanging="480" w:hangingChars="200"/>
      <w:outlineLvl w:val="2"/>
    </w:pPr>
    <w:rPr>
      <w:rFonts w:ascii="Times New Roman" w:hAnsi="Times New Roman" w:eastAsia="宋体"/>
      <w:b/>
      <w:color w:val="auto"/>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unhideWhenUsed/>
    <w:qFormat/>
    <w:uiPriority w:val="0"/>
    <w:pPr>
      <w:spacing w:before="240" w:beforeLines="0" w:after="60" w:afterLines="0"/>
      <w:jc w:val="center"/>
      <w:outlineLvl w:val="0"/>
    </w:pPr>
    <w:rPr>
      <w:rFonts w:hint="default" w:ascii="Cambria" w:hAnsi="Cambria" w:eastAsia="宋体"/>
      <w:b/>
      <w:kern w:val="0"/>
      <w:sz w:val="32"/>
      <w:szCs w:val="24"/>
    </w:rPr>
  </w:style>
  <w:style w:type="paragraph" w:styleId="4">
    <w:name w:val="Body Text Indent"/>
    <w:basedOn w:val="1"/>
    <w:semiHidden/>
    <w:unhideWhenUsed/>
    <w:qFormat/>
    <w:uiPriority w:val="99"/>
    <w:pPr>
      <w:spacing w:after="120"/>
      <w:ind w:left="420" w:leftChars="200"/>
    </w:pPr>
  </w:style>
  <w:style w:type="paragraph" w:styleId="5">
    <w:name w:val="Plain Text"/>
    <w:basedOn w:val="1"/>
    <w:qFormat/>
    <w:uiPriority w:val="0"/>
    <w:pPr>
      <w:widowControl w:val="0"/>
    </w:pPr>
    <w:rPr>
      <w:rFonts w:ascii="宋体" w:hAnsi="Courier New" w:cs="金山简魏碑"/>
      <w:color w:val="auto"/>
      <w:szCs w:val="21"/>
    </w:r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4"/>
    <w:qFormat/>
    <w:uiPriority w:val="99"/>
    <w:pPr>
      <w:ind w:firstLine="420" w:firstLineChars="200"/>
    </w:pPr>
    <w:rPr>
      <w:szCs w:val="24"/>
    </w:rPr>
  </w:style>
  <w:style w:type="character" w:styleId="11">
    <w:name w:val="Hyperlink"/>
    <w:basedOn w:val="10"/>
    <w:semiHidden/>
    <w:unhideWhenUsed/>
    <w:qFormat/>
    <w:uiPriority w:val="99"/>
    <w:rPr>
      <w:color w:val="0000FF"/>
      <w:u w:val="single"/>
    </w:rPr>
  </w:style>
  <w:style w:type="character" w:customStyle="1" w:styleId="12">
    <w:name w:val="页眉 Char"/>
    <w:basedOn w:val="10"/>
    <w:link w:val="7"/>
    <w:semiHidden/>
    <w:qFormat/>
    <w:uiPriority w:val="99"/>
    <w:rPr>
      <w:sz w:val="18"/>
      <w:szCs w:val="18"/>
    </w:rPr>
  </w:style>
  <w:style w:type="character" w:customStyle="1" w:styleId="13">
    <w:name w:val="页脚 Char"/>
    <w:basedOn w:val="10"/>
    <w:link w:val="6"/>
    <w:semiHidden/>
    <w:qFormat/>
    <w:uiPriority w:val="99"/>
    <w:rPr>
      <w:sz w:val="18"/>
      <w:szCs w:val="18"/>
    </w:rPr>
  </w:style>
  <w:style w:type="paragraph" w:styleId="14">
    <w:name w:val="List Paragraph"/>
    <w:basedOn w:val="1"/>
    <w:link w:val="17"/>
    <w:qFormat/>
    <w:uiPriority w:val="34"/>
    <w:pPr>
      <w:ind w:firstLine="420" w:firstLineChars="200"/>
    </w:pPr>
  </w:style>
  <w:style w:type="paragraph" w:customStyle="1" w:styleId="15">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6">
    <w:name w:val="test1"/>
    <w:basedOn w:val="1"/>
    <w:qFormat/>
    <w:uiPriority w:val="0"/>
    <w:pPr>
      <w:numPr>
        <w:ilvl w:val="0"/>
        <w:numId w:val="2"/>
      </w:numPr>
      <w:tabs>
        <w:tab w:val="left" w:pos="360"/>
      </w:tabs>
      <w:overflowPunct w:val="0"/>
      <w:autoSpaceDE w:val="0"/>
      <w:autoSpaceDN w:val="0"/>
      <w:adjustRightInd w:val="0"/>
      <w:spacing w:before="120" w:line="288" w:lineRule="auto"/>
      <w:jc w:val="left"/>
      <w:textAlignment w:val="baseline"/>
    </w:pPr>
    <w:rPr>
      <w:rFonts w:ascii="宋体" w:hAnsi="Times New Roman" w:eastAsia="宋体" w:cs="Times New Roman"/>
      <w:b/>
      <w:bCs/>
      <w:kern w:val="0"/>
      <w:szCs w:val="21"/>
    </w:rPr>
  </w:style>
  <w:style w:type="character" w:customStyle="1" w:styleId="17">
    <w:name w:val="列出段落 Char"/>
    <w:link w:val="14"/>
    <w:qFormat/>
    <w:uiPriority w:val="34"/>
  </w:style>
  <w:style w:type="paragraph" w:customStyle="1" w:styleId="18">
    <w:name w:val="正文（文本）"/>
    <w:qFormat/>
    <w:uiPriority w:val="0"/>
    <w:pPr>
      <w:widowControl w:val="0"/>
      <w:snapToGrid w:val="0"/>
      <w:spacing w:beforeLines="20" w:line="360" w:lineRule="auto"/>
      <w:jc w:val="center"/>
    </w:pPr>
    <w:rPr>
      <w:rFonts w:ascii="Times New Roman" w:hAnsi="宋体"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2811</Words>
  <Characters>2997</Characters>
  <Lines>25</Lines>
  <Paragraphs>7</Paragraphs>
  <TotalTime>1</TotalTime>
  <ScaleCrop>false</ScaleCrop>
  <LinksUpToDate>false</LinksUpToDate>
  <CharactersWithSpaces>3103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2023-03-01T09:10:00Z</dcterms:created>
  <dc:creator>lenovo</dc:creator>
  <cp:lastModifiedBy>Administrator</cp:lastModifiedBy>
  <cp:lastPrinted>2021-05-31T07:18:00Z</cp:lastPrinted>
  <dcterms:modified xsi:type="dcterms:W3CDTF">2026-01-17T09:41:18Z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85BC452ABFE749898666CD3C8A7E43ED_12</vt:lpwstr>
  </property>
</Properties>
</file>