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spacing w:val="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5"/>
          <w:sz w:val="44"/>
          <w:szCs w:val="44"/>
          <w:shd w:val="clear" w:fill="FFFFFF"/>
        </w:rPr>
        <w:t>关于调整二维码收单商户手续费优惠规则的公告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尊敬的收单商户：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4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感谢您长期以来对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丹阳</w:t>
      </w:r>
      <w:r>
        <w:rPr>
          <w:rFonts w:hint="eastAsia" w:ascii="仿宋" w:hAnsi="仿宋" w:eastAsia="仿宋" w:cs="仿宋"/>
          <w:sz w:val="32"/>
          <w:szCs w:val="32"/>
        </w:rPr>
        <w:t>农商银行的支持与厚爱！为进一步促进收单业务健康发展，提升商户服务水平，本行将对二维码收单商户手续费优惠规则进行调整，具体公示如下：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调整内容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Style w:val="6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新进件收银宝</w:t>
      </w:r>
      <w:r>
        <w:rPr>
          <w:rStyle w:val="6"/>
          <w:rFonts w:hint="eastAsia" w:ascii="仿宋" w:hAnsi="仿宋" w:eastAsia="仿宋" w:cs="仿宋"/>
          <w:sz w:val="32"/>
          <w:szCs w:val="32"/>
        </w:rPr>
        <w:t>商户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7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根据收单商户在我行资产总额（包含活期、理财、保险、贵金属和信托资金）给予</w:t>
      </w:r>
      <w:r>
        <w:rPr>
          <w:rStyle w:val="6"/>
          <w:rFonts w:hint="eastAsia" w:ascii="仿宋" w:hAnsi="仿宋" w:eastAsia="仿宋" w:cs="仿宋"/>
          <w:color w:val="FF0000"/>
          <w:sz w:val="32"/>
          <w:szCs w:val="32"/>
        </w:rPr>
        <w:t>次月免手续费总交易额度</w:t>
      </w:r>
      <w:r>
        <w:rPr>
          <w:rFonts w:hint="eastAsia" w:ascii="仿宋" w:hAnsi="仿宋" w:eastAsia="仿宋" w:cs="仿宋"/>
          <w:sz w:val="32"/>
          <w:szCs w:val="32"/>
        </w:rPr>
        <w:t>，具体如下：</w:t>
      </w:r>
    </w:p>
    <w:tbl>
      <w:tblPr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2350"/>
        <w:gridCol w:w="229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2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收银宝收费政策（试行）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上月AUM日均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（活期、理财、保险、贵金属、信托）</w:t>
            </w:r>
          </w:p>
        </w:tc>
        <w:tc>
          <w:tcPr>
            <w:tcW w:w="2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(单笔交易金额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2000元)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免手续费交易额度</w:t>
            </w:r>
          </w:p>
        </w:tc>
        <w:tc>
          <w:tcPr>
            <w:tcW w:w="2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(单笔交易金额&gt;2000元)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借记费率</w:t>
            </w:r>
          </w:p>
        </w:tc>
        <w:tc>
          <w:tcPr>
            <w:tcW w:w="2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(单笔交易金额&gt;2000元)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贷记费率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0-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万元（含）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2‰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万元（含）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2‰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万元（含）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2‰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万元（不含）以上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无限额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2‰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3‰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特别说明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4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 本次调整范围仅针对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省联社系统新进件收银宝商户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原简丹e点</w:t>
      </w:r>
      <w:r>
        <w:rPr>
          <w:rFonts w:hint="eastAsia" w:ascii="仿宋" w:hAnsi="仿宋" w:eastAsia="仿宋" w:cs="仿宋"/>
          <w:sz w:val="32"/>
          <w:szCs w:val="32"/>
        </w:rPr>
        <w:t>商户依照原规定执行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4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 当月优惠额度</w:t>
      </w:r>
      <w:r>
        <w:rPr>
          <w:rStyle w:val="6"/>
          <w:rFonts w:hint="eastAsia" w:ascii="仿宋" w:hAnsi="仿宋" w:eastAsia="仿宋" w:cs="仿宋"/>
          <w:sz w:val="32"/>
          <w:szCs w:val="32"/>
        </w:rPr>
        <w:t>仅限当月使用</w:t>
      </w:r>
      <w:r>
        <w:rPr>
          <w:rFonts w:hint="eastAsia" w:ascii="仿宋" w:hAnsi="仿宋" w:eastAsia="仿宋" w:cs="仿宋"/>
          <w:sz w:val="32"/>
          <w:szCs w:val="32"/>
        </w:rPr>
        <w:t>，未使用完的手续费减免优惠</w:t>
      </w:r>
      <w:r>
        <w:rPr>
          <w:rStyle w:val="6"/>
          <w:rFonts w:hint="eastAsia" w:ascii="仿宋" w:hAnsi="仿宋" w:eastAsia="仿宋" w:cs="仿宋"/>
          <w:sz w:val="32"/>
          <w:szCs w:val="32"/>
        </w:rPr>
        <w:t>按月清零，不累加，不结转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48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) 对于存在疑似信用卡套现、协助电信诈骗等违规交易行为的商户，将取消手续费减免优惠并有权采取其他风控措施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4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本公告公示期为</w:t>
      </w:r>
      <w:r>
        <w:rPr>
          <w:rStyle w:val="6"/>
          <w:rFonts w:hint="eastAsia" w:ascii="仿宋" w:hAnsi="仿宋" w:eastAsia="仿宋" w:cs="仿宋"/>
          <w:sz w:val="32"/>
          <w:szCs w:val="32"/>
        </w:rPr>
        <w:t>2024年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Style w:val="6"/>
          <w:rFonts w:hint="eastAsia" w:ascii="仿宋" w:hAnsi="仿宋" w:eastAsia="仿宋" w:cs="仿宋"/>
          <w:sz w:val="32"/>
          <w:szCs w:val="32"/>
        </w:rPr>
        <w:t>月20日至202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Style w:val="6"/>
          <w:rFonts w:hint="eastAsia" w:ascii="仿宋" w:hAnsi="仿宋" w:eastAsia="仿宋" w:cs="仿宋"/>
          <w:sz w:val="32"/>
          <w:szCs w:val="32"/>
        </w:rPr>
        <w:t>年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Style w:val="6"/>
          <w:rFonts w:hint="eastAsia" w:ascii="仿宋" w:hAnsi="仿宋" w:eastAsia="仿宋" w:cs="仿宋"/>
          <w:sz w:val="32"/>
          <w:szCs w:val="32"/>
        </w:rPr>
        <w:t>月19日</w:t>
      </w:r>
      <w:r>
        <w:rPr>
          <w:rFonts w:hint="eastAsia" w:ascii="仿宋" w:hAnsi="仿宋" w:eastAsia="仿宋" w:cs="仿宋"/>
          <w:sz w:val="32"/>
          <w:szCs w:val="32"/>
        </w:rPr>
        <w:t>，感谢您的理解和支持，我们将继续竭诚为您提供优质、快捷的金融服务，如对本次手续费优惠规则调整有疑问，请具体咨询本行各营业网点及收单服务人员。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4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丹阳</w:t>
      </w:r>
      <w:r>
        <w:rPr>
          <w:rFonts w:hint="eastAsia" w:ascii="仿宋" w:hAnsi="仿宋" w:eastAsia="仿宋" w:cs="仿宋"/>
          <w:sz w:val="32"/>
          <w:szCs w:val="32"/>
        </w:rPr>
        <w:t>农村商业银行股份有限公司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月20日</w:t>
      </w:r>
    </w:p>
    <w:p/>
    <w:sectPr>
      <w:pgSz w:w="11900" w:h="16820"/>
      <w:pgMar w:top="820" w:right="1060" w:bottom="82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jI2OGQ5MTgzMDg1YjRmMGI2NjkzODgzMjZjOGQzY2UifQ=="/>
  </w:docVars>
  <w:rsids>
    <w:rsidRoot w:val="00000000"/>
    <w:rsid w:val="0BC528C3"/>
    <w:rsid w:val="32213EA2"/>
    <w:rsid w:val="37B577CB"/>
    <w:rsid w:val="38742740"/>
    <w:rsid w:val="3CE75E44"/>
    <w:rsid w:val="48C40ECF"/>
    <w:rsid w:val="544874A9"/>
    <w:rsid w:val="5B1E3EF8"/>
    <w:rsid w:val="6AD5690D"/>
    <w:rsid w:val="7C000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41"/>
    <w:basedOn w:val="5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2024-10-17T10:38:00Z</dcterms:created>
  <dc:creator>Apache POI</dc:creator>
  <cp:lastModifiedBy>DYNSYH</cp:lastModifiedBy>
  <dcterms:modified xsi:type="dcterms:W3CDTF">2025-02-27T03:15:08Z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4670314B4EC34F6CA119437937E6C4C5_12</vt:lpwstr>
  </property>
</Properties>
</file>