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ZZ700322600144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NYXY000962、NYXY000880、NYXY000884、NYXY000882、NYXY000885、NYXY000881、NYXY000883、NYXY000879、NYXY000961、NYXY000960、NYXY000959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交银国信·致信5001号集合资金信托计划（第2期）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366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