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南银理财珠联璧合鑫逸稳两年100期封闭式公募人民币理财产品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南银理财珠联璧合鑫逸稳两年100期封闭式公募人民币理财产品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Z7003224000268</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2024年12月11日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30,524,798.00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国联基金管理有限公司,陆家嘴国际信托有限公司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Y60100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19,603,471.86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1.0387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1.0387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Y61100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10,845,218.54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1.0400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1.0400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Y62100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1,274,917.67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1.0413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1.0413</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Y60100份额净值为1.0387元，Y61100份额净值为1.0400元，Y62100份额净值为1.0413</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94.74%</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5.26%</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ZJQTT202506270001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陆家嘴信托-陆享20号集合资金信托计划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28,766,445.84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90.68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ZJQTT202306290002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国联基金-鑫福2号集合资产管理计划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2,686,103.28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8.47</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0101060000001294</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南京银行南京分行南银理财珠联璧合鑫逸稳两年100期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10912.33</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30.36</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