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南银理财珠联璧合鑫逸稳两年90期封闭式公募人民币理财产品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南银理财珠联璧合鑫逸稳两年90期封闭式公募人民币理财产品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Z7003224000189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2024年09月25日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62,155,900.00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中诚信托有限责任公司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Y60090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31,694,084.50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Y61090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31,528,281.45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Y62090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1,641,406.09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1.0458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1.0458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Y60090份额净值为1.0427元，Y61090份额净值为1.0442元，Y62090份额净值为1.0458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99.12%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0.88%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ZJQTT202506250001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13,082,786.07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10,148.96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0101020000001192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南京银行南京分行南银理财鑫逸稳两年90期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21757.08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112.26</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