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南银理财珠联璧合鑫逸稳两年109期封闭式公募人民币理财产品</w:t>
      </w: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2026</w:t>
      </w:r>
      <w:r>
        <w:rPr>
          <w:rFonts w:ascii="方正黑体简体" w:eastAsia="方正黑体简体" w:hAnsi="Calibri" w:hint="eastAsia"/>
          <w:sz w:val="36"/>
        </w:rPr>
        <w:t>年第</w:t>
      </w:r>
      <w:r>
        <w:rPr>
          <w:rFonts w:ascii="方正黑体简体" w:eastAsia="方正黑体简体" w:hAnsi="Calibri" w:hint="eastAsia"/>
          <w:sz w:val="36"/>
        </w:rPr>
        <w:t>1</w:t>
      </w:r>
      <w:r>
        <w:rPr>
          <w:rFonts w:ascii="方正黑体简体" w:eastAsia="方正黑体简体" w:hAnsi="Calibri" w:hint="eastAsia"/>
          <w:sz w:val="36"/>
        </w:rPr>
        <w:t>季度报告</w:t>
      </w: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产品管理人</w:t>
      </w:r>
      <w:r>
        <w:rPr>
          <w:rFonts w:ascii="方正仿宋简体" w:eastAsia="方正仿宋简体" w:hint="eastAsia"/>
          <w:b/>
          <w:sz w:val="24"/>
          <w:szCs w:val="24"/>
        </w:rPr>
        <w:t>:南银理财有限责任公司</w:t>
      </w: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产品托管人</w:t>
      </w:r>
      <w:r>
        <w:rPr>
          <w:rFonts w:ascii="方正仿宋简体" w:eastAsia="方正仿宋简体" w:hint="eastAsia"/>
          <w:b/>
          <w:sz w:val="24"/>
          <w:szCs w:val="24"/>
        </w:rPr>
        <w:t>:南京银行股份有限公司</w:t>
      </w:r>
    </w:p>
    <w:p w:rsidR="00151CEF" w:rsidRDefault="00151CEF">
      <w:pPr>
        <w:spacing w:before="240" w:after="72" w:line="360" w:lineRule="auto"/>
        <w:rPr>
          <w:rFonts w:ascii="方正黑体简体" w:eastAsia="方正黑体简体"/>
          <w:sz w:val="36"/>
          <w:szCs w:val="36"/>
        </w:rPr>
      </w:pPr>
    </w:p>
    <w:p w:rsidR="00151CEF" w:rsidRDefault="00151CEF">
      <w:pPr>
        <w:spacing w:before="240" w:after="72" w:line="360" w:lineRule="auto"/>
        <w:rPr>
          <w:rFonts w:ascii="方正黑体简体" w:eastAsia="方正黑体简体"/>
          <w:sz w:val="36"/>
          <w:szCs w:val="36"/>
        </w:rPr>
      </w:pPr>
    </w:p>
    <w:p w:rsidR="00151CEF" w:rsidRDefault="003E5C34">
      <w:pPr>
        <w:widowControl/>
        <w:spacing w:before="240" w:afterLines="0" w:line="360" w:lineRule="auto"/>
        <w:jc w:val="left"/>
        <w:rPr>
          <w:rFonts w:ascii="方正仿宋_GBK" w:eastAsia="方正仿宋_GBK" w:hAnsi="Calibri"/>
          <w:b/>
        </w:rPr>
      </w:pPr>
      <w:r>
        <w:rPr>
          <w:rFonts w:ascii="方正仿宋_GBK" w:eastAsia="方正仿宋_GBK" w:hAnsi="Calibri"/>
          <w:b/>
        </w:rPr>
        <w:br w:type="page"/>
      </w: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lastRenderedPageBreak/>
        <w:t>§</w:t>
      </w:r>
      <w:r>
        <w:rPr>
          <w:rFonts w:ascii="方正仿宋简体" w:eastAsia="方正仿宋简体" w:hint="eastAsia"/>
          <w:b/>
          <w:sz w:val="24"/>
          <w:szCs w:val="24"/>
        </w:rPr>
        <w:t xml:space="preserve">1 </w:t>
      </w:r>
      <w:r>
        <w:rPr>
          <w:rFonts w:ascii="方正仿宋简体" w:eastAsia="方正仿宋简体" w:hint="eastAsia"/>
          <w:b/>
          <w:sz w:val="24"/>
          <w:szCs w:val="24"/>
        </w:rPr>
        <w:t>产品概况</w:t>
      </w:r>
    </w:p>
    <w:tbl>
      <w:tblPr>
        <w:tblpPr w:leftFromText="180" w:rightFromText="180" w:vertAnchor="text" w:tblpY="1"/>
        <w:tblOverlap w:val="neve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719"/>
        <w:gridCol w:w="6178"/>
      </w:tblGrid>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产品全称</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南银理财珠联璧合鑫逸稳两年109期封闭式公募人民币理财产品</w:t>
            </w:r>
          </w:p>
        </w:tc>
      </w:tr>
      <w:tr w:rsidR="00151CEF">
        <w:trPr>
          <w:trHeight w:val="1300"/>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产品登记编码</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Z7003225000056</w:t>
            </w:r>
            <w:r>
              <w:rPr>
                <w:rFonts w:ascii="方正仿宋简体" w:eastAsia="方正仿宋简体" w:hint="eastAsia"/>
                <w:sz w:val="24"/>
                <w:szCs w:val="24"/>
              </w:rPr>
              <w:t>（投资者可依据该编码在中国理财网</w:t>
            </w:r>
            <w:r>
              <w:rPr>
                <w:rFonts w:ascii="方正仿宋简体" w:eastAsia="方正仿宋简体" w:hint="eastAsia"/>
                <w:sz w:val="24"/>
                <w:szCs w:val="24"/>
              </w:rPr>
              <w:t>www.chinawealth.com.cn</w:t>
            </w:r>
            <w:r>
              <w:rPr>
                <w:rFonts w:ascii="方正仿宋简体" w:eastAsia="方正仿宋简体" w:hint="eastAsia"/>
                <w:sz w:val="24"/>
                <w:szCs w:val="24"/>
              </w:rPr>
              <w:t>查询理财产品相关信息）</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产品运作方式</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封闭式净值型</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产品成立日</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2025年03月19日</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报告期末产品份额总额</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179,253,411.00</w:t>
            </w:r>
            <w:r>
              <w:rPr>
                <w:rFonts w:ascii="方正仿宋简体" w:eastAsia="方正仿宋简体" w:hint="eastAsia"/>
                <w:sz w:val="24"/>
                <w:szCs w:val="24"/>
              </w:rPr>
              <w:t>份</w:t>
            </w:r>
          </w:p>
        </w:tc>
      </w:tr>
      <w:tr w:rsidR="00151CEF">
        <w:trPr>
          <w:trHeight w:val="688"/>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合作机构</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国投泰康信托有限公司,江苏省国际信托有限责任公司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产品管理人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产品托管人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南京银行股份有限公司</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2  </w:t>
      </w:r>
      <w:r>
        <w:rPr>
          <w:rFonts w:ascii="方正仿宋简体" w:eastAsia="方正仿宋简体" w:hint="eastAsia"/>
          <w:b/>
          <w:sz w:val="24"/>
          <w:szCs w:val="24"/>
        </w:rPr>
        <w:t>主要财务指标</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2.1 </w:t>
      </w:r>
      <w:r>
        <w:rPr>
          <w:rFonts w:ascii="方正仿宋简体" w:eastAsia="方正仿宋简体" w:hint="eastAsia"/>
          <w:b/>
          <w:sz w:val="24"/>
          <w:szCs w:val="24"/>
        </w:rPr>
        <w:t>主要财务指标</w:t>
      </w:r>
    </w:p>
    <w:p w:rsidR="00151CEF" w:rsidRDefault="003E5C34">
      <w:pPr>
        <w:spacing w:before="240" w:after="72" w:line="360" w:lineRule="auto"/>
        <w:jc w:val="right"/>
        <w:rPr>
          <w:rFonts w:ascii="方正仿宋简体" w:eastAsia="方正仿宋简体"/>
          <w:sz w:val="24"/>
          <w:szCs w:val="24"/>
        </w:rPr>
      </w:pPr>
      <w:r>
        <w:rPr>
          <w:rFonts w:ascii="方正仿宋简体" w:eastAsia="方正仿宋简体" w:hint="eastAsia"/>
          <w:sz w:val="24"/>
          <w:szCs w:val="24"/>
        </w:rPr>
        <w:t>单位：人民币元</w:t>
      </w:r>
    </w:p>
    <w:tbl>
      <w:tblPr>
        <w:tblpPr w:leftFromText="180" w:rightFromText="180" w:vertAnchor="text" w:tblpXSpec="center" w:tblpY="1"/>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1838"/>
        <w:gridCol w:w="2693"/>
        <w:gridCol w:w="2410"/>
        <w:gridCol w:w="2126"/>
      </w:tblGrid>
      <w:tr w:rsidR="00151CEF">
        <w:trPr>
          <w:trHeight w:val="699"/>
          <w:jc w:val="center"/>
        </w:trPr>
        <w:tc>
          <w:tcPr>
            <w:tcW w:w="1838"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内部销售代码</w:t>
            </w:r>
          </w:p>
        </w:tc>
        <w:tc>
          <w:tcPr>
            <w:tcW w:w="7229" w:type="dxa"/>
            <w:gridSpan w:val="3"/>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w:t>
            </w:r>
            <w:r>
              <w:rPr>
                <w:rFonts w:ascii="方正仿宋简体" w:eastAsia="方正仿宋简体" w:hint="eastAsia"/>
                <w:sz w:val="24"/>
                <w:szCs w:val="24"/>
              </w:rPr>
              <w:t>2026年01月01日 - 2026年03月31日</w:t>
            </w:r>
            <w:r>
              <w:rPr>
                <w:rFonts w:ascii="方正仿宋简体" w:eastAsia="方正仿宋简体" w:hint="eastAsia"/>
                <w:sz w:val="24"/>
                <w:szCs w:val="24"/>
              </w:rPr>
              <w:t>）</w:t>
            </w:r>
          </w:p>
        </w:tc>
      </w:tr>
      <w:tr w:rsidR="00151CEF">
        <w:trPr>
          <w:trHeight w:val="1697"/>
          <w:jc w:val="center"/>
        </w:trPr>
        <w:tc>
          <w:tcPr>
            <w:tcW w:w="1838" w:type="dxa"/>
            <w:vMerge/>
            <w:vAlign w:val="center"/>
          </w:tcPr>
          <w:p w:rsidR="00151CEF" w:rsidRDefault="00151CEF" w:rsidP="008B1379">
            <w:pPr>
              <w:spacing w:beforeLines="20" w:afterLines="20"/>
              <w:jc w:val="center"/>
              <w:rPr>
                <w:rFonts w:ascii="方正仿宋简体" w:eastAsia="方正仿宋简体"/>
                <w:sz w:val="24"/>
                <w:szCs w:val="24"/>
              </w:rPr>
            </w:pPr>
          </w:p>
        </w:tc>
        <w:tc>
          <w:tcPr>
            <w:tcW w:w="269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w:t>
            </w:r>
            <w:r>
              <w:rPr>
                <w:rFonts w:ascii="方正仿宋简体" w:eastAsia="方正仿宋简体" w:hint="eastAsia"/>
                <w:sz w:val="24"/>
                <w:szCs w:val="24"/>
              </w:rPr>
              <w:t>期末产品最后一个市场交易日资产净值</w:t>
            </w:r>
          </w:p>
        </w:tc>
        <w:tc>
          <w:tcPr>
            <w:tcW w:w="241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r>
              <w:rPr>
                <w:rFonts w:ascii="方正仿宋简体" w:eastAsia="方正仿宋简体" w:hint="eastAsia"/>
                <w:sz w:val="24"/>
                <w:szCs w:val="24"/>
              </w:rPr>
              <w:t>期末产品最后一个市场交易日份额净值</w:t>
            </w:r>
          </w:p>
        </w:tc>
        <w:tc>
          <w:tcPr>
            <w:tcW w:w="212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r>
              <w:rPr>
                <w:rFonts w:ascii="方正仿宋简体" w:eastAsia="方正仿宋简体" w:hint="eastAsia"/>
                <w:sz w:val="24"/>
                <w:szCs w:val="24"/>
              </w:rPr>
              <w:t>期末产品最后一个市场交易日份额累计净值</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Y60109</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116,523,081.19</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1.0299</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1.0299</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Y61109</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60,873,702.54</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1.0309</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1.0309</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Y62109</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7,300,335.39</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1.0320</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1.0320</w:t>
            </w:r>
          </w:p>
        </w:tc>
      </w:tr>
    </w:tbl>
    <w:p w:rsidR="00151CEF" w:rsidRDefault="003E5C34">
      <w:pPr>
        <w:pStyle w:val="biaogeleft"/>
        <w:spacing w:before="240" w:after="72" w:line="360" w:lineRule="auto"/>
        <w:ind w:left="0"/>
        <w:rPr>
          <w:rFonts w:ascii="方正仿宋简体" w:eastAsia="方正仿宋简体" w:hAnsi="Times New Roman" w:cs="Times New Roman"/>
          <w:kern w:val="2"/>
        </w:rPr>
      </w:pPr>
      <w:r>
        <w:rPr>
          <w:rFonts w:ascii="方正仿宋简体" w:eastAsia="方正仿宋简体" w:hAnsi="Times New Roman" w:cs="Times New Roman" w:hint="eastAsia"/>
          <w:kern w:val="2"/>
        </w:rPr>
        <w:t>注：产品净值可能存在未扣除管理人及投资合作机构业绩报酬、赎回费等费用（如有）的情况，实际收益以兑付为准。</w:t>
      </w:r>
    </w:p>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3  </w:t>
      </w:r>
      <w:r>
        <w:rPr>
          <w:rFonts w:ascii="方正仿宋简体" w:eastAsia="方正仿宋简体" w:hint="eastAsia"/>
          <w:b/>
          <w:sz w:val="24"/>
          <w:szCs w:val="24"/>
        </w:rPr>
        <w:t>管理人报告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3.1 </w:t>
      </w:r>
      <w:r>
        <w:rPr>
          <w:rFonts w:ascii="方正仿宋简体" w:eastAsia="方正仿宋简体" w:hint="eastAsia"/>
          <w:b/>
          <w:sz w:val="24"/>
          <w:szCs w:val="24"/>
        </w:rPr>
        <w:t>报告期内产品的投资策略和运作分析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hint="eastAsia"/>
          <w:sz w:val="24"/>
          <w:szCs w:val="24"/>
        </w:rPr>
        <w:t>  2026年一季度债市呈现牛陡走势，短端收益率下行显著，长端保持韧性。经济基本面稳中有升，规模以上工业企业利润同比增长15.2%，CPI温和回升至1.3%，PPI增速连续5个月环比回升，制造业PMI重回扩张区间，进出口数据亮眼但内需修复温和，为债市提供支撑。央行实施精准宽松，资金利率中枢下行。国际上，美伊冲突推高油价引发滞胀担忧，中国债市展现避险韧性。机构配置积极，银行、保险开门红进场，公募增持短久期品种。市场表现上， 10年期下行3BP至1.82%，长端受经济复苏预期、权益走强等扰动，波动有所加大。</w:t>
        <w:br w:type="textWrapping" w:clear="all"/>
      </w:r>
      <w:r>
        <w:rPr>
          <w:rFonts w:ascii="方正仿宋简体" w:eastAsia="方正仿宋简体" w:hint="eastAsia"/>
          <w:sz w:val="24"/>
          <w:szCs w:val="24"/>
        </w:rPr>
        <w:t>  展望二季度，债市大概率呈区间震荡格局。经济基本面预计温和修复，国际地缘冲突与美联储降息节奏扰动仍存，输入性通胀压力显现，长端受通胀及经济预期扰动波动加大，整体需把握结构性机会。央行将维持适度宽松，操作上，抓住调整窗口积极进行票息布局。</w:t>
        <w:br w:type="textWrapping" w:clear="all"/>
      </w:r>
      <w:r>
        <w:rPr>
          <w:rFonts w:ascii="方正仿宋简体" w:eastAsia="方正仿宋简体" w:hint="eastAsia"/>
          <w:sz w:val="24"/>
          <w:szCs w:val="24"/>
        </w:rPr>
        <w:t>  今年一季度产品操作稳健偏积极。一季度债券市场走势震荡偏强，利率债区间横盘震荡、信用债则表现亮眼，信用利差持续压缩，其中中短端表现更优。虽然机构对于未来通胀预期抬升、一季度经济数据呈现较好的韧性等有一定担忧，但资金面整体维持宽松，非银流动性也保持充裕，利率债在利空冲击面前波动整体可控。一季度产品运作过程中操作从去年四季度的防守转向积极，把握了利率及二级资本债的交易机会，产品层面保持一定的杠杆及久期水平以跟上市场涨幅。市场上涨过程中减持了部分性价比偏弱的个券降低低效仓位，通过置换部分持仓，提升组合静态。下一阶段，产品将继续围绕稳健回报的收益目标进行操作，审慎精选票息品种，久期根据对宏观基本面的判断灵活调整，及时做好市场走势的跟踪与研判，挖掘潜在投资机会。</w:t>
      </w:r>
      <w:r>
        <w:rPr>
          <w:rFonts w:ascii="方正仿宋简体" w:eastAsia="方正仿宋简体" w:hint="eastAsia"/>
          <w:sz w:val="24"/>
          <w:szCs w:val="24"/>
        </w:rPr>
        <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3.2 </w:t>
      </w:r>
      <w:r>
        <w:rPr>
          <w:rFonts w:ascii="方正仿宋简体" w:eastAsia="方正仿宋简体" w:hint="eastAsia"/>
          <w:b/>
          <w:sz w:val="24"/>
          <w:szCs w:val="24"/>
        </w:rPr>
        <w:t>报告期内产品的流动性风险分析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sz w:val="24"/>
          <w:szCs w:val="24"/>
        </w:rPr>
        <w:t>  今年一季度以来，资金环境整体维持宽松。产品保留了合理的流动性资产仓位以应对时点性的市场波动。下阶段产品将继续保持稳健的投资风格，在风险可控的前提下灵活运用杠杆，合理排布融资期限。同时关注市场各关键时点资金波动情况，做好流动性预判和资产到期分布安排，提前做好应对方案，防范流动性风险。</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3.3 </w:t>
      </w:r>
      <w:r>
        <w:rPr>
          <w:rFonts w:ascii="方正仿宋简体" w:eastAsia="方正仿宋简体" w:hint="eastAsia"/>
          <w:b/>
          <w:sz w:val="24"/>
          <w:szCs w:val="24"/>
        </w:rPr>
        <w:t>报告期内产品的业绩表现</w:t>
      </w:r>
    </w:p>
    <w:p w:rsidR="00151CEF" w:rsidRDefault="003E5C34">
      <w:pPr>
        <w:spacing w:before="240" w:after="72" w:line="360" w:lineRule="auto"/>
        <w:ind w:firstLineChars="200" w:firstLine="480"/>
        <w:rPr>
          <w:rFonts w:ascii="方正仿宋简体" w:eastAsia="方正仿宋简体"/>
          <w:sz w:val="24"/>
          <w:szCs w:val="24"/>
        </w:rPr>
      </w:pPr>
      <w:r>
        <w:rPr>
          <w:rFonts w:ascii="方正仿宋简体" w:eastAsia="方正仿宋简体" w:hint="eastAsia"/>
          <w:sz w:val="24"/>
          <w:szCs w:val="24"/>
        </w:rPr>
        <w:t>截至报告期末，本产品</w:t>
      </w:r>
      <w:r>
        <w:rPr>
          <w:rFonts w:ascii="方正仿宋简体" w:eastAsia="方正仿宋简体" w:hint="eastAsia"/>
          <w:sz w:val="24"/>
          <w:szCs w:val="24"/>
        </w:rPr>
        <w:t>Y60109份额净值为1.0299元，Y61109份额净值为1.0309元，Y62109份额净值为1.0320</w:t>
      </w:r>
      <w:r>
        <w:rPr>
          <w:rFonts w:ascii="方正仿宋简体" w:eastAsia="方正仿宋简体" w:hint="eastAsia"/>
          <w:sz w:val="24"/>
          <w:szCs w:val="24"/>
        </w:rPr>
        <w:t>元。</w:t>
      </w:r>
    </w:p>
    <w:p w:rsidR="00151CEF" w:rsidRDefault="00151CEF">
      <w:pPr>
        <w:spacing w:before="240" w:after="72" w:line="360" w:lineRule="auto"/>
        <w:rPr>
          <w:rFonts w:ascii="方正仿宋_GBK" w:eastAsia="方正仿宋_GBK" w:hAnsi="宋体"/>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4  </w:t>
      </w:r>
      <w:r>
        <w:rPr>
          <w:rFonts w:ascii="方正仿宋简体" w:eastAsia="方正仿宋简体" w:hint="eastAsia"/>
          <w:b/>
          <w:sz w:val="24"/>
          <w:szCs w:val="24"/>
        </w:rPr>
        <w:t>投资组合报告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4.1 </w:t>
      </w:r>
      <w:r>
        <w:rPr>
          <w:rFonts w:ascii="方正仿宋简体" w:eastAsia="方正仿宋简体" w:hint="eastAsia"/>
          <w:b/>
          <w:sz w:val="24"/>
          <w:szCs w:val="24"/>
        </w:rPr>
        <w:t>报告期末产品资产组合情况</w:t>
      </w:r>
    </w:p>
    <w:tbl>
      <w:tblPr>
        <w:tblpPr w:leftFromText="180" w:rightFromText="180" w:vertAnchor="text" w:tblpXSpec="center" w:tblpY="1"/>
        <w:tblOverlap w:val="neve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45"/>
        <w:gridCol w:w="1859"/>
        <w:gridCol w:w="3002"/>
        <w:gridCol w:w="3289"/>
      </w:tblGrid>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资产类别</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穿透前占总资产比例</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穿透后占总资产比例</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lastRenderedPageBreak/>
              <w:t>1</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固定收益类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91.18%</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权益类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8.82%</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商品及金融衍生品类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混合类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5</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合计</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bl>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4.2 </w:t>
      </w:r>
      <w:r>
        <w:rPr>
          <w:rFonts w:ascii="方正仿宋简体" w:eastAsia="方正仿宋简体" w:hint="eastAsia"/>
          <w:b/>
          <w:sz w:val="24"/>
          <w:szCs w:val="24"/>
        </w:rPr>
        <w:t>报告期末按公允价值占产品资产净值比例大小排序的前十名资产投资明细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50"/>
        <w:gridCol w:w="1581"/>
        <w:gridCol w:w="2712"/>
        <w:gridCol w:w="2052"/>
        <w:gridCol w:w="1807"/>
      </w:tblGrid>
      <w:tr w:rsidR="00151CEF">
        <w:trPr>
          <w:trHeight w:val="1233"/>
          <w:jc w:val="center"/>
        </w:trPr>
        <w:tc>
          <w:tcPr>
            <w:tcW w:w="75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58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代码</w:t>
            </w:r>
          </w:p>
        </w:tc>
        <w:tc>
          <w:tcPr>
            <w:tcW w:w="271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名称</w:t>
            </w:r>
          </w:p>
        </w:tc>
        <w:tc>
          <w:tcPr>
            <w:tcW w:w="205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公允价值（元）</w:t>
            </w:r>
          </w:p>
        </w:tc>
        <w:tc>
          <w:tcPr>
            <w:tcW w:w="180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占产品资产净值比例（％）</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ZJQTT202207200001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江苏信托鑫盈1号集合资金信托计划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169,632,477.07</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91.84</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ZJQTT202404010022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国投泰康信托福佳7号集合资金信托计划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14,579,136.81</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7.89</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4.3</w:t>
      </w:r>
      <w:r>
        <w:rPr>
          <w:rFonts w:ascii="方正仿宋简体" w:eastAsia="方正仿宋简体" w:hint="eastAsia"/>
          <w:b/>
          <w:sz w:val="24"/>
          <w:szCs w:val="24"/>
        </w:rPr>
        <w:t>报告期末非标准化债权类资产明细</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383"/>
        <w:gridCol w:w="1271"/>
        <w:gridCol w:w="876"/>
      </w:tblGrid>
      <w:tr w:rsidR="00151CEF">
        <w:trPr>
          <w:trHeight w:val="107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融资客户</w:t>
            </w:r>
          </w:p>
        </w:tc>
        <w:tc>
          <w:tcPr>
            <w:tcW w:w="127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项目名称</w:t>
            </w:r>
          </w:p>
        </w:tc>
        <w:tc>
          <w:tcPr>
            <w:tcW w:w="154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剩余融资期限（</w:t>
            </w:r>
            <w:r>
              <w:rPr>
                <w:rFonts w:ascii="方正仿宋简体" w:eastAsia="方正仿宋简体"/>
                <w:sz w:val="24"/>
                <w:szCs w:val="24"/>
              </w:rPr>
              <w:t>天）</w:t>
            </w:r>
          </w:p>
        </w:tc>
        <w:tc>
          <w:tcPr>
            <w:tcW w:w="13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到期收益分配</w:t>
            </w:r>
          </w:p>
        </w:tc>
        <w:tc>
          <w:tcPr>
            <w:tcW w:w="127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交易结构</w:t>
            </w:r>
          </w:p>
        </w:tc>
        <w:tc>
          <w:tcPr>
            <w:tcW w:w="87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风险状况</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5 </w:t>
      </w:r>
      <w:r>
        <w:rPr>
          <w:rFonts w:ascii="方正仿宋简体" w:eastAsia="方正仿宋简体" w:hint="eastAsia"/>
          <w:b/>
          <w:sz w:val="24"/>
          <w:szCs w:val="24"/>
        </w:rPr>
        <w:t>投资账户信息</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46"/>
        <w:gridCol w:w="1417"/>
        <w:gridCol w:w="2668"/>
        <w:gridCol w:w="1983"/>
        <w:gridCol w:w="1988"/>
      </w:tblGrid>
      <w:tr w:rsidR="00151CEF">
        <w:trPr>
          <w:trHeight w:val="584"/>
          <w:jc w:val="center"/>
        </w:trPr>
        <w:tc>
          <w:tcPr>
            <w:tcW w:w="84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4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账户类型</w:t>
            </w:r>
          </w:p>
        </w:tc>
        <w:tc>
          <w:tcPr>
            <w:tcW w:w="266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账号</w:t>
            </w:r>
          </w:p>
        </w:tc>
        <w:tc>
          <w:tcPr>
            <w:tcW w:w="19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账户名称</w:t>
            </w:r>
          </w:p>
        </w:tc>
        <w:tc>
          <w:tcPr>
            <w:tcW w:w="198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开户单位</w:t>
            </w:r>
          </w:p>
        </w:tc>
      </w:tr>
      <w:tr>
        <w:trPr>
          <w:trHeight w:val="584"/>
          <w:jc w:val="center"/>
        </w:trPr>
        <w:tc>
          <w:tcPr>
            <w:tcW w:w="84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4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0101020000001413</w:t>
            </w:r>
          </w:p>
        </w:tc>
        <w:tc>
          <w:tcPr>
            <w:tcW w:w="19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南银理财珠联璧合鑫逸稳两年109期</w:t>
            </w:r>
          </w:p>
        </w:tc>
        <w:tc>
          <w:tcPr>
            <w:tcW w:w="198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rsidR="00151CEF" w:rsidRDefault="00151CEF">
      <w:pPr>
        <w:spacing w:afterLines="0" w:line="360" w:lineRule="auto"/>
        <w:rPr>
          <w:rFonts w:ascii="方正仿宋_GBK" w:eastAsia="方正仿宋_GBK"/>
          <w:sz w:val="24"/>
          <w:szCs w:val="24"/>
        </w:rPr>
      </w:pPr>
    </w:p>
    <w:p w:rsidR="00151CEF" w:rsidRDefault="00151CEF">
      <w:pPr>
        <w:spacing w:before="240" w:after="72" w:line="360" w:lineRule="auto"/>
        <w:jc w:val="center"/>
        <w:rPr>
          <w:rFonts w:ascii="方正仿宋_GBK" w:eastAsia="方正仿宋_GBK"/>
          <w:b/>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6 </w:t>
      </w:r>
      <w:r>
        <w:rPr>
          <w:rFonts w:ascii="方正仿宋简体" w:eastAsia="方正仿宋简体" w:hint="eastAsia"/>
          <w:b/>
          <w:sz w:val="24"/>
          <w:szCs w:val="24"/>
        </w:rPr>
        <w:t>关联交易情况</w:t>
      </w:r>
    </w:p>
    <w:p w:rsidR="00151CEF" w:rsidRDefault="008B1379">
      <w:pPr>
        <w:spacing w:before="240" w:after="72" w:line="360" w:lineRule="auto"/>
        <w:rPr>
          <w:rFonts w:ascii="方正仿宋简体" w:eastAsia="方正仿宋简体"/>
          <w:b/>
          <w:sz w:val="24"/>
          <w:szCs w:val="24"/>
        </w:rPr>
      </w:pPr>
      <w:r>
        <w:rPr>
          <w:rFonts w:ascii="方正仿宋简体" w:eastAsia="方正仿宋简体" w:hint="eastAsia"/>
          <w:b/>
          <w:sz w:val="24"/>
          <w:szCs w:val="24"/>
        </w:rPr>
        <w:t>6.1</w:t>
      </w:r>
      <w:r w:rsidR="003E5C34">
        <w:rPr>
          <w:rFonts w:ascii="方正仿宋简体" w:eastAsia="方正仿宋简体" w:hint="eastAsia"/>
          <w:b/>
          <w:sz w:val="24"/>
          <w:szCs w:val="24"/>
        </w:rPr>
        <w:t>产品投资于关联方发行的证券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E665A0">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2</w:t>
      </w:r>
      <w:r w:rsidR="003E5C34">
        <w:rPr>
          <w:rFonts w:ascii="方正仿宋简体" w:eastAsia="方正仿宋简体" w:hint="eastAsia"/>
          <w:b/>
          <w:sz w:val="24"/>
          <w:szCs w:val="24"/>
        </w:rPr>
        <w:t>产品投资于关联方承销的证券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F5F55">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.3</w:t>
      </w:r>
      <w:r w:rsidR="003E5C34">
        <w:rPr>
          <w:rFonts w:ascii="方正仿宋简体" w:eastAsia="方正仿宋简体" w:hint="eastAsia"/>
          <w:b/>
          <w:sz w:val="24"/>
          <w:szCs w:val="24"/>
        </w:rPr>
        <w:t>产品投资于关联方发行的资产管理产品</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w:t>
            </w:r>
            <w:bookmarkStart w:id="0" w:name="_GoBack"/>
            <w:bookmarkEnd w:id="0"/>
            <w:r>
              <w:rPr>
                <w:rFonts w:ascii="方正仿宋简体" w:eastAsia="方正仿宋简体" w:hint="eastAsia"/>
                <w:sz w:val="24"/>
                <w:szCs w:val="24"/>
              </w:rPr>
              <w:t>资产管理产品</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F1350B">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.4</w:t>
      </w:r>
      <w:r w:rsidR="003E5C34">
        <w:rPr>
          <w:rFonts w:ascii="方正仿宋简体" w:eastAsia="方正仿宋简体" w:hint="eastAsia"/>
          <w:b/>
          <w:sz w:val="24"/>
          <w:szCs w:val="24"/>
        </w:rPr>
        <w:t>其他关联交易</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2117"/>
        <w:gridCol w:w="3090"/>
        <w:gridCol w:w="2842"/>
      </w:tblGrid>
      <w:tr w:rsidR="00151CEF">
        <w:trPr>
          <w:trHeight w:val="104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21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交易类型</w:t>
            </w:r>
          </w:p>
        </w:tc>
        <w:tc>
          <w:tcPr>
            <w:tcW w:w="309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w:t>
            </w:r>
            <w:r>
              <w:rPr>
                <w:rFonts w:ascii="方正仿宋简体" w:eastAsia="方正仿宋简体" w:hint="eastAsia"/>
                <w:sz w:val="24"/>
                <w:szCs w:val="24"/>
              </w:rPr>
              <w:t>名称</w:t>
            </w:r>
          </w:p>
        </w:tc>
        <w:tc>
          <w:tcPr>
            <w:tcW w:w="284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62740.15</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丹阳农商行</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840.30</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151CEF">
      <w:pPr>
        <w:spacing w:before="240" w:after="72" w:line="360" w:lineRule="auto"/>
        <w:jc w:val="right"/>
        <w:rPr>
          <w:rFonts w:ascii="方正仿宋_GBK" w:eastAsia="方正仿宋_GBK"/>
          <w:b/>
          <w:sz w:val="24"/>
          <w:szCs w:val="24"/>
        </w:rPr>
      </w:pPr>
    </w:p>
    <w:p w:rsidR="00151CEF" w:rsidRDefault="003E5C34">
      <w:pPr>
        <w:spacing w:before="240" w:after="72" w:line="360" w:lineRule="auto"/>
        <w:jc w:val="right"/>
        <w:rPr>
          <w:rFonts w:ascii="方正仿宋简体" w:eastAsia="方正仿宋简体"/>
          <w:b/>
          <w:sz w:val="24"/>
          <w:szCs w:val="24"/>
        </w:rPr>
      </w:pPr>
      <w:r>
        <w:rPr>
          <w:rFonts w:ascii="方正仿宋简体" w:eastAsia="方正仿宋简体" w:hint="eastAsia"/>
          <w:b/>
          <w:sz w:val="24"/>
          <w:szCs w:val="24"/>
        </w:rPr>
        <w:lastRenderedPageBreak/>
        <w:t>南银理财有限责任公司</w:t>
      </w:r>
    </w:p>
    <w:p w:rsidR="00151CEF" w:rsidRDefault="003E5C34">
      <w:pPr>
        <w:spacing w:before="240" w:after="72" w:line="360" w:lineRule="auto"/>
        <w:jc w:val="right"/>
        <w:rPr>
          <w:rFonts w:ascii="方正仿宋_GBK" w:eastAsia="方正仿宋_GBK"/>
          <w:sz w:val="24"/>
          <w:szCs w:val="24"/>
        </w:rPr>
      </w:pPr>
      <w:r>
        <w:rPr>
          <w:rFonts w:ascii="方正仿宋简体" w:eastAsia="方正仿宋简体" w:hint="eastAsia"/>
          <w:b/>
          <w:sz w:val="24"/>
          <w:szCs w:val="24"/>
        </w:rPr>
        <w:t>2026年03月31日</w:t>
      </w:r>
    </w:p>
    <w:sectPr w:rsidR="00151CEF" w:rsidSect="00151CEF">
      <w:headerReference w:type="even" r:id="rId7"/>
      <w:headerReference w:type="default" r:id="rId8"/>
      <w:footerReference w:type="even" r:id="rId9"/>
      <w:footerReference w:type="default" r:id="rId10"/>
      <w:headerReference w:type="first" r:id="rId11"/>
      <w:footerReference w:type="first" r:id="rId12"/>
      <w:pgSz w:w="11926" w:h="16867"/>
      <w:pgMar w:top="1418" w:right="1418" w:bottom="853"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C34" w:rsidRDefault="003E5C34" w:rsidP="008B1379">
      <w:pPr>
        <w:spacing w:after="72"/>
      </w:pPr>
      <w:r>
        <w:separator/>
      </w:r>
    </w:p>
  </w:endnote>
  <w:endnote w:type="continuationSeparator" w:id="1">
    <w:p w:rsidR="003E5C34" w:rsidRDefault="003E5C34" w:rsidP="008B1379">
      <w:pPr>
        <w:spacing w:after="7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charset w:val="86"/>
    <w:family w:val="script"/>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framePr w:wrap="around" w:vAnchor="text" w:hAnchor="margin" w:xAlign="center" w:y="1"/>
      <w:spacing w:after="72"/>
      <w:rPr>
        <w:rStyle w:val="a6"/>
      </w:rPr>
    </w:pPr>
    <w:r>
      <w:fldChar w:fldCharType="begin"/>
    </w:r>
    <w:r w:rsidR="003E5C34">
      <w:rPr>
        <w:rStyle w:val="a6"/>
      </w:rPr>
      <w:instrText xml:space="preserve">PAGE  </w:instrText>
    </w:r>
    <w:r>
      <w:fldChar w:fldCharType="end"/>
    </w:r>
  </w:p>
  <w:p w:rsidR="00151CEF" w:rsidRDefault="00151CEF">
    <w:pPr>
      <w:pStyle w:val="a3"/>
      <w:spacing w:after="7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C34" w:rsidRDefault="003E5C34" w:rsidP="008B1379">
      <w:pPr>
        <w:spacing w:after="72"/>
      </w:pPr>
      <w:r>
        <w:separator/>
      </w:r>
    </w:p>
  </w:footnote>
  <w:footnote w:type="continuationSeparator" w:id="1">
    <w:p w:rsidR="003E5C34" w:rsidRDefault="003E5C34" w:rsidP="008B1379">
      <w:pPr>
        <w:spacing w:after="7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C0CDF"/>
    <w:rsid w:val="00103A35"/>
    <w:rsid w:val="001129D2"/>
    <w:rsid w:val="00137120"/>
    <w:rsid w:val="00142497"/>
    <w:rsid w:val="00151CEF"/>
    <w:rsid w:val="0018311F"/>
    <w:rsid w:val="001F5F55"/>
    <w:rsid w:val="00201F77"/>
    <w:rsid w:val="00232109"/>
    <w:rsid w:val="00232DB0"/>
    <w:rsid w:val="002344B0"/>
    <w:rsid w:val="00244B70"/>
    <w:rsid w:val="002624BA"/>
    <w:rsid w:val="00262B4B"/>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C2B"/>
    <w:rsid w:val="003C00A0"/>
    <w:rsid w:val="003D3C54"/>
    <w:rsid w:val="003E5C34"/>
    <w:rsid w:val="003F013A"/>
    <w:rsid w:val="0040415E"/>
    <w:rsid w:val="00414B37"/>
    <w:rsid w:val="00427D95"/>
    <w:rsid w:val="00432880"/>
    <w:rsid w:val="00451C56"/>
    <w:rsid w:val="004601C9"/>
    <w:rsid w:val="004633DF"/>
    <w:rsid w:val="004822D3"/>
    <w:rsid w:val="00486D6C"/>
    <w:rsid w:val="00494CBA"/>
    <w:rsid w:val="004B750B"/>
    <w:rsid w:val="004D15C6"/>
    <w:rsid w:val="004E5012"/>
    <w:rsid w:val="004F595C"/>
    <w:rsid w:val="00503A1E"/>
    <w:rsid w:val="00505062"/>
    <w:rsid w:val="005117FF"/>
    <w:rsid w:val="0052308E"/>
    <w:rsid w:val="00524B4A"/>
    <w:rsid w:val="00531855"/>
    <w:rsid w:val="00537A01"/>
    <w:rsid w:val="0055573F"/>
    <w:rsid w:val="00573EE2"/>
    <w:rsid w:val="00595C46"/>
    <w:rsid w:val="005A7904"/>
    <w:rsid w:val="005B5E17"/>
    <w:rsid w:val="005C595B"/>
    <w:rsid w:val="005C763A"/>
    <w:rsid w:val="005D04CF"/>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B1379"/>
    <w:rsid w:val="008E1A84"/>
    <w:rsid w:val="008F5BE6"/>
    <w:rsid w:val="008F5F21"/>
    <w:rsid w:val="008F6281"/>
    <w:rsid w:val="00902434"/>
    <w:rsid w:val="0093559E"/>
    <w:rsid w:val="009371B9"/>
    <w:rsid w:val="009515A9"/>
    <w:rsid w:val="009800BA"/>
    <w:rsid w:val="0098497E"/>
    <w:rsid w:val="00985734"/>
    <w:rsid w:val="009B41A7"/>
    <w:rsid w:val="009D656A"/>
    <w:rsid w:val="009D6D5E"/>
    <w:rsid w:val="009E2AE4"/>
    <w:rsid w:val="009E6E45"/>
    <w:rsid w:val="009F712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C14418"/>
    <w:rsid w:val="00C4285D"/>
    <w:rsid w:val="00C62A28"/>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E07C77"/>
    <w:rsid w:val="00E2696A"/>
    <w:rsid w:val="00E41BB2"/>
    <w:rsid w:val="00E463CC"/>
    <w:rsid w:val="00E60602"/>
    <w:rsid w:val="00E665A0"/>
    <w:rsid w:val="00E66EA9"/>
    <w:rsid w:val="00E76CD6"/>
    <w:rsid w:val="00E80B2A"/>
    <w:rsid w:val="00EA36AD"/>
    <w:rsid w:val="00EB538F"/>
    <w:rsid w:val="00EB5E48"/>
    <w:rsid w:val="00EB6923"/>
    <w:rsid w:val="00EF160C"/>
    <w:rsid w:val="00EF651B"/>
    <w:rsid w:val="00F02F01"/>
    <w:rsid w:val="00F07A35"/>
    <w:rsid w:val="00F11AF8"/>
    <w:rsid w:val="00F12482"/>
    <w:rsid w:val="00F1350B"/>
    <w:rsid w:val="00F35159"/>
    <w:rsid w:val="00F4518F"/>
    <w:rsid w:val="00F62D3E"/>
    <w:rsid w:val="00F81FB3"/>
    <w:rsid w:val="00F91E69"/>
    <w:rsid w:val="00F95842"/>
    <w:rsid w:val="00FA4B34"/>
    <w:rsid w:val="00FD3F28"/>
    <w:rsid w:val="00FD4626"/>
    <w:rsid w:val="00FE2FF5"/>
    <w:rsid w:val="00FE56AA"/>
    <w:rsid w:val="02732838"/>
    <w:rsid w:val="064F5E3F"/>
    <w:rsid w:val="067957D6"/>
    <w:rsid w:val="068A3911"/>
    <w:rsid w:val="096C492A"/>
    <w:rsid w:val="097522A9"/>
    <w:rsid w:val="09855647"/>
    <w:rsid w:val="09CD4FA8"/>
    <w:rsid w:val="09FA5C38"/>
    <w:rsid w:val="0E491358"/>
    <w:rsid w:val="0ECF438B"/>
    <w:rsid w:val="0ED079FD"/>
    <w:rsid w:val="0ED24ECB"/>
    <w:rsid w:val="108D0923"/>
    <w:rsid w:val="1211008B"/>
    <w:rsid w:val="12A23A92"/>
    <w:rsid w:val="138B4249"/>
    <w:rsid w:val="13A30E69"/>
    <w:rsid w:val="13FE28CE"/>
    <w:rsid w:val="152C07E5"/>
    <w:rsid w:val="15BF2C93"/>
    <w:rsid w:val="161A756B"/>
    <w:rsid w:val="17C32281"/>
    <w:rsid w:val="19A5017C"/>
    <w:rsid w:val="1A5A512F"/>
    <w:rsid w:val="1D292A9C"/>
    <w:rsid w:val="1D453032"/>
    <w:rsid w:val="1D994FC6"/>
    <w:rsid w:val="1DED4924"/>
    <w:rsid w:val="1EE418F9"/>
    <w:rsid w:val="1F1A3BC0"/>
    <w:rsid w:val="21E94A8E"/>
    <w:rsid w:val="240D6541"/>
    <w:rsid w:val="2651710C"/>
    <w:rsid w:val="28E10EB3"/>
    <w:rsid w:val="2B4D5FAE"/>
    <w:rsid w:val="2B576CA8"/>
    <w:rsid w:val="2C5F4270"/>
    <w:rsid w:val="2F51780D"/>
    <w:rsid w:val="308E2CE7"/>
    <w:rsid w:val="30C303CC"/>
    <w:rsid w:val="327A7D8C"/>
    <w:rsid w:val="329F5BB7"/>
    <w:rsid w:val="341F714B"/>
    <w:rsid w:val="35C87400"/>
    <w:rsid w:val="360F31D2"/>
    <w:rsid w:val="39215E14"/>
    <w:rsid w:val="3A1451FA"/>
    <w:rsid w:val="3A390954"/>
    <w:rsid w:val="3C752596"/>
    <w:rsid w:val="3F6B27EA"/>
    <w:rsid w:val="437A247B"/>
    <w:rsid w:val="43E41CDA"/>
    <w:rsid w:val="47CB0D4D"/>
    <w:rsid w:val="49AA3EC1"/>
    <w:rsid w:val="4C230C61"/>
    <w:rsid w:val="4DE04BB5"/>
    <w:rsid w:val="4E3236AB"/>
    <w:rsid w:val="517F7818"/>
    <w:rsid w:val="52E136B7"/>
    <w:rsid w:val="544F06C7"/>
    <w:rsid w:val="55997FD6"/>
    <w:rsid w:val="57DD4EC8"/>
    <w:rsid w:val="585B658A"/>
    <w:rsid w:val="5B8E2631"/>
    <w:rsid w:val="5D000324"/>
    <w:rsid w:val="5E960D54"/>
    <w:rsid w:val="60176481"/>
    <w:rsid w:val="611546EB"/>
    <w:rsid w:val="6215706D"/>
    <w:rsid w:val="632A5F40"/>
    <w:rsid w:val="638A010D"/>
    <w:rsid w:val="64682286"/>
    <w:rsid w:val="652669DC"/>
    <w:rsid w:val="66F5726F"/>
    <w:rsid w:val="67DB46D4"/>
    <w:rsid w:val="6AF46ED1"/>
    <w:rsid w:val="6C4B78BA"/>
    <w:rsid w:val="6C686480"/>
    <w:rsid w:val="6C6C5036"/>
    <w:rsid w:val="6CA33DE5"/>
    <w:rsid w:val="6DBF574D"/>
    <w:rsid w:val="78BC358F"/>
    <w:rsid w:val="79045EB7"/>
    <w:rsid w:val="7BE80191"/>
    <w:rsid w:val="7DD408B3"/>
    <w:rsid w:val="7E187B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CEF"/>
    <w:pPr>
      <w:widowControl w:val="0"/>
      <w:spacing w:afterLines="3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51CEF"/>
    <w:pPr>
      <w:tabs>
        <w:tab w:val="center" w:pos="4153"/>
        <w:tab w:val="right" w:pos="8306"/>
      </w:tabs>
      <w:snapToGrid w:val="0"/>
      <w:jc w:val="left"/>
    </w:pPr>
    <w:rPr>
      <w:rFonts w:eastAsiaTheme="minorEastAsia"/>
      <w:sz w:val="18"/>
      <w:szCs w:val="18"/>
    </w:rPr>
  </w:style>
  <w:style w:type="paragraph" w:styleId="a4">
    <w:name w:val="header"/>
    <w:basedOn w:val="a"/>
    <w:link w:val="Char0"/>
    <w:uiPriority w:val="99"/>
    <w:unhideWhenUsed/>
    <w:qFormat/>
    <w:rsid w:val="00151CEF"/>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151CEF"/>
    <w:pPr>
      <w:widowControl/>
      <w:spacing w:before="100" w:beforeAutospacing="1" w:after="100" w:afterAutospacing="1"/>
      <w:jc w:val="left"/>
    </w:pPr>
    <w:rPr>
      <w:rFonts w:ascii="宋体" w:hAnsi="宋体"/>
      <w:kern w:val="0"/>
      <w:sz w:val="24"/>
      <w:szCs w:val="24"/>
    </w:rPr>
  </w:style>
  <w:style w:type="character" w:styleId="a6">
    <w:name w:val="page number"/>
    <w:basedOn w:val="a0"/>
    <w:uiPriority w:val="99"/>
    <w:unhideWhenUsed/>
    <w:qFormat/>
    <w:rsid w:val="00151CEF"/>
  </w:style>
  <w:style w:type="character" w:customStyle="1" w:styleId="Char">
    <w:name w:val="页脚 Char"/>
    <w:link w:val="a3"/>
    <w:uiPriority w:val="99"/>
    <w:qFormat/>
    <w:locked/>
    <w:rsid w:val="00151CEF"/>
    <w:rPr>
      <w:rFonts w:ascii="Times New Roman" w:hAnsi="Times New Roman" w:cs="Times New Roman"/>
      <w:sz w:val="18"/>
      <w:szCs w:val="18"/>
    </w:rPr>
  </w:style>
  <w:style w:type="character" w:customStyle="1" w:styleId="Char1">
    <w:name w:val="页脚 Char1"/>
    <w:basedOn w:val="a0"/>
    <w:uiPriority w:val="99"/>
    <w:semiHidden/>
    <w:qFormat/>
    <w:rsid w:val="00151CEF"/>
    <w:rPr>
      <w:rFonts w:ascii="Times New Roman" w:eastAsia="宋体" w:hAnsi="Times New Roman" w:cs="Times New Roman"/>
      <w:sz w:val="18"/>
      <w:szCs w:val="18"/>
    </w:rPr>
  </w:style>
  <w:style w:type="paragraph" w:customStyle="1" w:styleId="biaogeleft">
    <w:name w:val="biaoge_left"/>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2">
    <w:name w:val="zhangjie_p2"/>
    <w:basedOn w:val="a"/>
    <w:qFormat/>
    <w:rsid w:val="00151CEF"/>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biaogecenter">
    <w:name w:val="biaoge_center"/>
    <w:basedOn w:val="a"/>
    <w:qFormat/>
    <w:rsid w:val="00151CEF"/>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dazhangjie">
    <w:name w:val="dazhangjie"/>
    <w:basedOn w:val="a"/>
    <w:qFormat/>
    <w:rsid w:val="00151CEF"/>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
    <w:name w:val="正文1"/>
    <w:qFormat/>
    <w:rsid w:val="00151CEF"/>
    <w:pPr>
      <w:jc w:val="both"/>
    </w:pPr>
    <w:rPr>
      <w:kern w:val="2"/>
      <w:sz w:val="21"/>
      <w:szCs w:val="21"/>
    </w:rPr>
  </w:style>
  <w:style w:type="paragraph" w:customStyle="1" w:styleId="biaogeright">
    <w:name w:val="biaoge_right"/>
    <w:basedOn w:val="a"/>
    <w:qFormat/>
    <w:rsid w:val="00151CEF"/>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
    <w:name w:val="zhangjie_p"/>
    <w:basedOn w:val="a"/>
    <w:qFormat/>
    <w:rsid w:val="00151CEF"/>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Default">
    <w:name w:val="Default"/>
    <w:qFormat/>
    <w:rsid w:val="00151CEF"/>
    <w:pPr>
      <w:widowControl w:val="0"/>
      <w:autoSpaceDE w:val="0"/>
      <w:autoSpaceDN w:val="0"/>
      <w:adjustRightInd w:val="0"/>
    </w:pPr>
    <w:rPr>
      <w:rFonts w:ascii="宋体" w:cs="宋体"/>
      <w:color w:val="000000"/>
      <w:sz w:val="24"/>
      <w:szCs w:val="24"/>
    </w:rPr>
  </w:style>
  <w:style w:type="character" w:customStyle="1" w:styleId="Char0">
    <w:name w:val="页眉 Char"/>
    <w:basedOn w:val="a0"/>
    <w:link w:val="a4"/>
    <w:uiPriority w:val="99"/>
    <w:qFormat/>
    <w:rsid w:val="00151CE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389</Words>
  <Characters>2221</Characters>
  <Application>Microsoft Office Word</Application>
  <DocSecurity>0</DocSecurity>
  <Lines>18</Lines>
  <Paragraphs>5</Paragraphs>
  <ScaleCrop>false</ScaleCrop>
  <Company>cc</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2022-08-03T07:42:00Z</dcterms:created>
  <dc:creator>演示人</dc:creator>
  <cp:lastModifiedBy>yytx</cp:lastModifiedBy>
  <dcterms:modified xsi:type="dcterms:W3CDTF">2026-03-27T09:09:00Z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65B57D7BDF384424A76A3B84B5FDE380</vt:lpwstr>
  </property>
</Properties>
</file>