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南银理财珠联璧合鑫逸稳一年252期封闭式公募人民币理财产品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南银理财珠联璧合鑫逸稳一年252期封闭式公募人民币理财产品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Z7003225000401</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2025年12月17日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769,329,000.00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五矿国际信托有限公司,华泰资产管理有限公司,国投泰康信托有限公司,天津信托有限责任公司,紫金信托有限责任公司,江苏省国际信托有限责任公司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Y30252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428,884,517.84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Y31252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142,914,132.86</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1.0071</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Y32252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135,478,027.44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1.0074</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Y33252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20,154,953.91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YB30252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47,374,682.01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1.0076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  操作方面，坚持稳健运作的投资理念，对于利差保护较足的信用资产积极配置，同时关注交易活跃品种的波段机会，根据对后市的研判灵活摆布资产久期与杠杆水平，获取稳健的投资回报。</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  本理财产品主要投向具有良好流动性的标准化债券资产和非标债权资产，其中非标债权资产的投资比例不超过说明书约定的比例上限，资产到期日不晚于本理财产品的到期日，流动性风险可控。</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Y30252份额净值为1.0069元，Y31252份额净值为1.0071元，Y32252份额净值为1.0074元，Y33252份额净值为1.0077元，YB30252份额净值为1.0076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98.05%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93.44%</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6.56%</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1.95%</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XTDKX202601140021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180,983,518.20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23.36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ZJQTT202312130001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170,461,051.54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22.00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ZJQTT202301090001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116,918,384.99</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15.09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XTDKX202601070022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天津信托-信腾30号集合资金信托计划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100,601,302.00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ZCZQT202512170001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华泰-小满2号资产支持计划（第1期）优先A级</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100,048,907.31</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76,407,554.33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15,126,192.53</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1.95</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ZJQTT202401040001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五矿信托-苏鑫1号集合资金信托计划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12,687,702.76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重庆市微恒科技有限公司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天津信托-信腾30号集合资金信托计划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283</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按月付息，到期还本</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深圳智领星辰科技有限公司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国投泰康信托黄雀·音福36号集合资金信托计划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290</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华泰-小满2号资产支持计划（第1期）优先A级</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261</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资产证券化(债权型)</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0101050000003811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南银理财珠联璧合鑫逸稳一年252期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10265.39</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1004.85</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