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南银理财鼎瑞悦稳（最低持有14天）公募人民币理财产品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南银理财鼎瑞悦稳（最低持有14天）公募人民币理财产品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Z7003223000182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2023年09月12日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4,711,991,790.89</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商基金管理有限公司,华泰资产管理有限公司,华鑫证券有限责任公司,国投泰康信托有限公司,广发基金管理有限公司,紫金信托有限责任公司,陆家嘴国际信托有限公司,太平洋资产管理有限责任公司,江苏省国际信托有限责任公司,申万宏源证券资产管理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2,115,046,296.29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1.063265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1.063265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20,355,655.37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1.068739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1.068739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A32016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2,872,040,011.92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1.062487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1.062487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654,767.62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1.058087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1.058087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  本产品持仓中维持合理比例高流动性资产，杠杆处于合理水平，流动性状况较好。</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A32014份额净值为1.063265元，A32015份额净值为1.068739元，A32016份额净值为1.062487元，A32028份额净值为1.058087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96.16%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93.52%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3.84%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6.48%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705,181,924.56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642,951,708.40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DQCKX202506200003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农业银行定期存款20250620B</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ZJQTT202409090021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387,168,812.71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ZJQTT202510310001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华商基金聚睿优选集合资产管理计划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306,832,881.46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太平洋安盈十五号流动性资产管理产品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161,516,735.52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032480303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24崇德投资PPN001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151,695,150.00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DQCKX202508180022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广发银行定期存款20250818A</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142,598,648.61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ZJQTT202602240002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申万宏源申辉添福2号集合资产管理计划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141,183,300.00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0101080000000712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南京银行南京分行南银理财鼎瑞悦稳最低持有14天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22国开行二级资本债01A</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092202005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51378618.49</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1745317994.53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1775500000.00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交易对手</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1333820.75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昆山鹿城村镇银行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17770.14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265905.96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