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南银理财珠联璧合鑫逸稳一年235期封闭式公募人民币理财产品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南银理财珠联璧合鑫逸稳一年235期封闭式公募人民币理财产品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Z7003225000277</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2025年08月20日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1,560,867,786.00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五矿国际信托有限公司,华鑫国际信托有限公司,国投泰康信托有限公司,紫金信托有限责任公司,鑫元基金管理有限公司,江苏省国际信托有限责任公司,中国对外经济贸易信托有限公司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Y30235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725,677,908.67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Y31235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443,622,155.51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Y32235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248,721,556.59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Y35235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113,606,392.38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Y36235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21,604,312.19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YB30235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28,636,657.57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Y30235份额净值为1.0130元，Y31235份额净值为1.0136元，Y32235份额净值为1.0142元，Y35235份额净值为1.0132元，Y36235份额净值为1.0135元，YB30235份额净值为1.0144</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91.96%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8.04%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387,229,518.02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24.48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223,056,531.15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14.10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XTDKX202509170002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外贸信托-云虹17号集合资金信托计划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202,682,430.00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12.81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XTDKX202512110003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华鑫信托嘉盈月满32号集合资金信托计划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201,367,928.00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12.73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197,920,167.45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12.51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182,578,189.37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11.54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156,227,741.59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30,310,005.64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云瀚信息科技有限公司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外贸信托-云虹17号集合资金信托计划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华鑫信托嘉盈月满32号集合资金信托计划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0101050000001690</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南银理财珠联璧合鑫逸稳一年235期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255040593.96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166523.84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4398.34</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