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南银理财珠联璧合财富牛（最低持有91天）公募人民币理财产品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南银理财珠联璧合财富牛（最低持有91天）公募人民币理财产品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Z7003223000094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2023年05月17日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3,644,059,885.68</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欧基金管理有限公司,中诚信托有限责任公司,兴业基金管理有限公司,华夏基金管理有限公司,华安基金管理有限公司,华泰资产管理有限公司,华鑫证券有限责任公司,博时基金管理有限公司,国投泰康信托有限公司,国泰基金管理有限公司,富国基金管理有限公司,广发基金管理有限公司,招商基金管理有限公司,紫金信托有限责任公司,鑫沅资产管理有限公司,易方达基金管理有限公司,陆家嘴国际信托有限公司,中国人寿资产管理有限公司,南方基金管理股份有限公司,景顺长城基金管理有限公司,汇添富基金管理股份有限公司,上海东方证券资产管理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Z70013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3,191,486,018.88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Z70014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768,898,374.37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1.0881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1.0881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  债券方面， 2026年1季度整体呈现收益率曲线陡峭化态势，其中1年期国债收益率从年初约1.34%下行至1.20%左右，受资金面宽松、同业利率调降预期等因素推动，短端表现较强。10年期国债收益率在1.77%-1.90%区间震荡，季末收于1.81%附近，受权益市场波动、地缘政治冲突、通胀预期等因素影响，整体波动较大。310年期国债收益率逆势上行约10bp，季末收于2.3%附近，受供给压力、通胀担忧等因素影响。信用利差收窄，各等级信用债利差普遍收窄，中低等级信用债利差收窄幅度更大。例如，3年期AAA、AA+、AA、AA-级信用债利差分别收窄6bp、10bp、15bp、13bp，反映市场对信用风险的定价趋于缓和。展望后市，通胀担忧引发债市调整，长债震荡格局延续。目前，高油价引发的通胀交易仍未结束，PPI大概率于3-4月转正，长债安全边际尚不足。但新旧动能转换的压力仍大，旧经济拖累下内需偏弱，货币政策难转向，大概率继续维持宽松，债市大幅调整风险亦可控。从投资应对方面，其一，因为内需不强和央行呵护流动性，长债持续单边调整的风险不大，10年国债高于1.85%后可左侧分批参与波段交易；其二，目前债券绝对票息逼近历史前低，信用利差不高，唯有期限利差较高，预计央行将维持宽松货币，所以骑乘策略具有相对性价比。</w:t>
        <w:br w:type="textWrapping" w:clear="all"/>
      </w:r>
      <w:r>
        <w:rPr>
          <w:rFonts w:ascii="方正仿宋简体" w:eastAsia="方正仿宋简体" w:hint="eastAsia"/>
          <w:sz w:val="24"/>
          <w:szCs w:val="24"/>
        </w:rPr>
        <w:t>  权益方面，2026年1季度权益市场整体呈现先扬后抑的走势，春节前抢跑效应明显，指数一路上涨逼近4200点整数关口，有色和化工等板块表现较好。春节后，平准基金对指数平抑效果明显，进入3月受到美伊战争的影响，市场对滞胀的风险担忧升温，上证指数一路下杀至3794点附近，避险情绪升温，可增配红利加强防御。展望后市，伊朗冲突在消息面上反复，无论战争是否结束，考虑到原油供应链的破坏和各国战略性补库的需要，油价中枢抬升是大概率事件，全年来看资源品是投资的重要方向。短期外部地缘冲突持续使得风偏回落和流动性收缩，避险情绪持续升温，叠加国内年报季将来临，对基本面和盈利的关注将提升，预计短期市场震荡承压，通过控制仓位、增配红利防御。关注在流动性冲击中产业逻辑坚挺的被错杀品种，调整提供了优质资产的再配置机会。</w:t>
        <w:br w:type="textWrapping" w:clear="all"/>
      </w:r>
      <w:r>
        <w:rPr>
          <w:rFonts w:ascii="方正仿宋简体" w:eastAsia="方正仿宋简体" w:hint="eastAsia"/>
          <w:sz w:val="24"/>
          <w:szCs w:val="24"/>
        </w:rPr>
        <w:t>  本产品为长持有期固收+产品，在运作期内操作上主配置2年信用债，积极采用杠杆获取收益增厚，同时配置二级债基、权益ETF等含权资产。后续我们将继续研判市场，将风险预算在不同大类资产里进行合理分配，在波动可控的范围内为客户提供收益弹性。</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  本产品配置较高比例的存款和政策性金融债等高流动性资产,整体流动性风险可控。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Z70013份额净值为1.0864元，Z70014份额净值为1.0881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97.29%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90.29%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2.71%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1,784,586,209.30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447,425,799.64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ZJQTT202503170027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441,882,281.25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XJCKX202502270001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网商银行活期存款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212,607,170.29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112518279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25华夏银行CD279</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98,851,300.00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112512161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25北京银行CD161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98,430,700.00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74,221,981.01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ZJQTT202404250022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67,827,573.68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ZJQTT202512230001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国寿资产-源流1号保险资产管理产品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50,354,889.59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217008</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招商安本增利债券</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44,078,577.36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0120040000001175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南银理财财富牛最低持有91天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188750759.21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1438889.29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163407.67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