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1C" w:rsidRDefault="0025361C">
      <w:pPr>
        <w:spacing w:before="240" w:after="72" w:line="360" w:lineRule="auto"/>
        <w:jc w:val="center"/>
        <w:rPr>
          <w:rFonts w:asciiTheme="minorEastAsia" w:eastAsiaTheme="minorEastAsia" w:hAnsiTheme="minorEastAsia"/>
        </w:rPr>
      </w:pPr>
    </w:p>
    <w:p w:rsidR="0025361C" w:rsidRDefault="0025361C">
      <w:pPr>
        <w:spacing w:before="240" w:after="72" w:line="360" w:lineRule="auto"/>
        <w:jc w:val="center"/>
        <w:rPr>
          <w:rFonts w:asciiTheme="minorEastAsia" w:eastAsiaTheme="minorEastAsia" w:hAnsiTheme="minorEastAsia"/>
        </w:rPr>
      </w:pPr>
    </w:p>
    <w:p w:rsidR="0025361C" w:rsidRDefault="0025361C">
      <w:pPr>
        <w:spacing w:before="240" w:after="72" w:line="360" w:lineRule="auto"/>
        <w:jc w:val="center"/>
        <w:rPr>
          <w:rFonts w:asciiTheme="minorEastAsia" w:eastAsiaTheme="minorEastAsia" w:hAnsiTheme="minorEastAsia"/>
        </w:rPr>
      </w:pPr>
    </w:p>
    <w:p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南银理财珠联璧合财富牛（最低持有280天）公募人民币理财产品</w:t>
      </w:r>
    </w:p>
    <w:p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25361C" w:rsidRDefault="0025361C">
      <w:pPr>
        <w:spacing w:before="240" w:after="72" w:line="360" w:lineRule="auto"/>
        <w:jc w:val="center"/>
        <w:rPr>
          <w:rFonts w:ascii="方正黑体简体" w:eastAsia="方正黑体简体"/>
          <w:sz w:val="36"/>
          <w:szCs w:val="36"/>
        </w:rPr>
      </w:pPr>
    </w:p>
    <w:p w:rsidR="0025361C" w:rsidRDefault="00CD5DF8">
      <w:pPr>
        <w:spacing w:before="240" w:after="72" w:line="360" w:lineRule="auto"/>
        <w:jc w:val="center"/>
        <w:rPr>
          <w:rFonts w:ascii="方正黑体简体" w:eastAsia="方正黑体简体"/>
          <w:sz w:val="36"/>
          <w:szCs w:val="36"/>
        </w:rPr>
      </w:pPr>
      <w:r>
        <w:rPr>
          <w:rFonts w:ascii="方正黑体简体" w:eastAsia="方正黑体简体"/>
          <w:sz w:val="36"/>
          <w:szCs w:val="36"/>
        </w:rPr>
        <w:br w:type="page"/>
      </w: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W w:w="895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94"/>
        <w:gridCol w:w="6065"/>
      </w:tblGrid>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产品全称</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南银理财珠联璧合财富牛（最低持有280天）公募人民币理财产品</w:t>
            </w:r>
          </w:p>
        </w:tc>
      </w:tr>
      <w:tr w:rsidR="0025361C">
        <w:trPr>
          <w:trHeight w:val="1207"/>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产品登记编码</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Z7003222000047</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产品运作方式</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开放式净值型</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产品成立日</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2022年07月13日</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报告期末产品份额总额</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415,026,500.47</w:t>
            </w:r>
            <w:r>
              <w:rPr>
                <w:rFonts w:ascii="方正仿宋简体" w:eastAsia="方正仿宋简体" w:hint="eastAsia"/>
                <w:sz w:val="24"/>
                <w:szCs w:val="24"/>
              </w:rPr>
              <w:t>份</w:t>
            </w:r>
          </w:p>
        </w:tc>
      </w:tr>
      <w:tr w:rsidR="0025361C">
        <w:trPr>
          <w:trHeight w:val="639"/>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合作机构</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中诚信托有限责任公司,华夏基金管理有限公司,华泰资产管理有限公司,国泰基金管理有限公司,富国基金管理有限公司,广发基金管理有限公司,招商基金管理有限公司,鑫沅资产管理有限公司,易方达基金管理有限公司,南方基金管理股份有限公司,景顺长城基金管理有限公司</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产品管理人</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南银理财有限责任公司</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产品托管人</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南京银行股份有限公司</w:t>
            </w:r>
          </w:p>
        </w:tc>
      </w:tr>
    </w:tbl>
    <w:p w:rsidR="0025361C" w:rsidRDefault="0025361C">
      <w:pPr>
        <w:spacing w:before="240" w:after="72" w:line="360" w:lineRule="auto"/>
        <w:rPr>
          <w:rFonts w:ascii="方正仿宋_GBK" w:eastAsia="方正仿宋_GBK" w:hAnsi="宋体" w:cs="宋体"/>
          <w:kern w:val="0"/>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主要财务指标和产品业绩比较基准</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25361C" w:rsidRDefault="00CD5DF8">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296"/>
        <w:gridCol w:w="2705"/>
        <w:gridCol w:w="2030"/>
        <w:gridCol w:w="2036"/>
      </w:tblGrid>
      <w:tr w:rsidR="0025361C">
        <w:trPr>
          <w:trHeight w:val="613"/>
          <w:jc w:val="center"/>
        </w:trPr>
        <w:tc>
          <w:tcPr>
            <w:tcW w:w="2296" w:type="dxa"/>
            <w:vMerge w:val="restart"/>
            <w:vAlign w:val="center"/>
          </w:tcPr>
          <w:p w:rsidR="0025361C" w:rsidRDefault="00CD5DF8" w:rsidP="005E567C">
            <w:pPr>
              <w:spacing w:beforeLines="20" w:afterLines="2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6771" w:type="dxa"/>
            <w:gridSpan w:val="3"/>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25361C">
        <w:trPr>
          <w:trHeight w:val="1664"/>
          <w:jc w:val="center"/>
        </w:trPr>
        <w:tc>
          <w:tcPr>
            <w:tcW w:w="2296" w:type="dxa"/>
            <w:vMerge/>
            <w:vAlign w:val="center"/>
          </w:tcPr>
          <w:p w:rsidR="0025361C" w:rsidRDefault="0025361C" w:rsidP="005E567C">
            <w:pPr>
              <w:spacing w:beforeLines="20" w:afterLines="20" w:line="360" w:lineRule="auto"/>
              <w:jc w:val="center"/>
              <w:rPr>
                <w:rFonts w:ascii="方正仿宋简体" w:eastAsia="方正仿宋简体"/>
                <w:sz w:val="24"/>
                <w:szCs w:val="24"/>
              </w:rPr>
            </w:pPr>
          </w:p>
        </w:tc>
        <w:tc>
          <w:tcPr>
            <w:tcW w:w="270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030"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036"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Z70009</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457,837,757.51</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1.1031</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1.1031</w:t>
            </w:r>
          </w:p>
        </w:tc>
      </w:tr>
    </w:tbl>
    <w:p w:rsidR="0025361C" w:rsidRDefault="00CD5DF8">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2.2 </w:t>
      </w:r>
      <w:r>
        <w:rPr>
          <w:rFonts w:ascii="方正仿宋简体" w:eastAsia="方正仿宋简体" w:hint="eastAsia"/>
          <w:b/>
          <w:sz w:val="24"/>
          <w:szCs w:val="24"/>
        </w:rPr>
        <w:t>产品业绩比较基准</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2.2.1</w:t>
      </w:r>
      <w:r>
        <w:rPr>
          <w:rFonts w:ascii="方正仿宋简体" w:eastAsia="方正仿宋简体" w:hint="eastAsia"/>
          <w:b/>
          <w:sz w:val="24"/>
          <w:szCs w:val="24"/>
        </w:rPr>
        <w:t>本报告期产品业绩比较基准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4485"/>
        <w:gridCol w:w="2095"/>
        <w:gridCol w:w="2322"/>
      </w:tblGrid>
      <w:tr w:rsidR="0025361C">
        <w:trPr>
          <w:jc w:val="center"/>
        </w:trPr>
        <w:tc>
          <w:tcPr>
            <w:tcW w:w="448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阶段</w:t>
            </w:r>
          </w:p>
        </w:tc>
        <w:tc>
          <w:tcPr>
            <w:tcW w:w="209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2322"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业绩比较基准</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Z70009</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r>
        <w:rPr>
          <w:rFonts w:ascii="方正仿宋简体" w:eastAsia="方正仿宋简体" w:hint="eastAsia"/>
          <w:b/>
          <w:sz w:val="24"/>
          <w:szCs w:val="24"/>
        </w:rPr>
        <w:tab/>
      </w:r>
    </w:p>
    <w:p w:rsidR="0025361C" w:rsidRDefault="00CD5DF8">
      <w:pPr>
        <w:spacing w:before="240" w:after="72" w:line="360" w:lineRule="auto"/>
        <w:rPr>
          <w:rFonts w:ascii="方正仿宋简体" w:eastAsia="方正仿宋简体"/>
          <w:sz w:val="24"/>
          <w:szCs w:val="24"/>
        </w:rPr>
      </w:pPr>
      <w:r>
        <w:rPr>
          <w:rFonts w:ascii="方正仿宋简体" w:eastAsia="方正仿宋简体" w:hint="eastAsia"/>
          <w:sz w:val="24"/>
          <w:szCs w:val="24"/>
        </w:rPr>
        <w:t>  债券方面， 2026年1季度整体呈现收益率曲线陡峭化态势，其中1年期国债收益率从年初约1.34%下行至1.20%左右，受资金面宽松、同业利率调降预期等因素推动，短端表现较强。10年期国债收益率在1.77%-1.90%区间震荡，季末收于1.81%附近，受权益市场波动、地缘政治冲突、通胀预期等因素影响，整体波动较大。310年期国债收益率逆势上行约10bp，季末收于2.3%附近，受供给压力、通胀担忧等因素影响。信用利差收窄，各等级信用债利差普遍收窄，中低等级信用债利差收窄幅度更大。例如，3年期AAA、AA+、AA、AA-级信用债利差分别收窄6bp、10bp、15bp、13bp，反映市场对信用风险的定价趋于缓和。展望后市，通胀担忧引发债市调整，长债震荡格局延续。目前，高油价引发的通胀交易仍未结束，PPI大概率于3-4月转正，长债安全边际尚不足。但新旧动能转换的压力仍大，旧经济拖累下内需偏弱，货币政策难转向，大概率继续维持宽松，债市大幅调整风险亦可控。从投资应对方面，其一，因为内需不强和央行呵护流动性，长债持续单边调整的风险不大，10年国债高于1.85%后可左侧分批参与波段交易；其二，目前债券绝对票息逼近历史前低，信用利差不高，唯有期限利差较高，预计央行将维持宽松货币，所以骑乘策略具有相对性价比。</w:t>
        <w:br w:type="textWrapping" w:clear="all"/>
      </w:r>
      <w:r>
        <w:rPr>
          <w:rFonts w:ascii="方正仿宋简体" w:eastAsia="方正仿宋简体" w:hint="eastAsia"/>
          <w:sz w:val="24"/>
          <w:szCs w:val="24"/>
        </w:rPr>
        <w:t>  权益方面，2026年1季度权益市场整体呈现先扬后抑的走势，春节前抢跑效应明显，指数一路上涨逼近4200点整数关口，有色和化工等板块表现较好。春节后，平准基金对指数平抑效果明显，进入3月受到美伊战争的影响，市场对滞胀的风险担忧升温，上证指数一路下杀至3794点附近，避险情绪升温，可增配红利加强防御。展望后市，伊朗冲突在消息面上反复，无论战争是否结束，考虑到原油供应链的破坏和各国战略性补库的需要，油价中枢抬升是大概率事件，全年来看资源品是投资的重要方向。短期外部地缘冲突持续使得风偏回落和流动性收缩，避险情绪持续升温，叠加国内年报季将来临，对基本面和盈利的关注将提升，预计短期市场震荡承压，通过控制仓位、增配红利防御。关注在流动性冲击中产业逻辑坚挺的被错杀品种，调整提供了优质资产的再配置机会。</w:t>
        <w:br w:type="textWrapping" w:clear="all"/>
      </w:r>
      <w:r>
        <w:rPr>
          <w:rFonts w:ascii="方正仿宋简体" w:eastAsia="方正仿宋简体" w:hint="eastAsia"/>
          <w:sz w:val="24"/>
          <w:szCs w:val="24"/>
        </w:rPr>
        <w:t>  本产品为长持有期固收+产品，在运作期内操作上主配置2年信用债，积极采用杠杆获取收益增厚，同时配置二级债基、权益ETF等含权资产。后续我们将继续研判市场，将风险预算在不同大类资产里进行合理分配，在波动可控的范围内为客户提供收益弹性。</w:t>
      </w:r>
      <w:r>
        <w:rPr>
          <w:rFonts w:ascii="方正仿宋简体" w:eastAsia="方正仿宋简体" w:hint="eastAsia"/>
          <w:sz w:val="24"/>
          <w:szCs w:val="24"/>
        </w:rPr>
        <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25361C" w:rsidRDefault="00CD5DF8">
      <w:pPr>
        <w:spacing w:before="240" w:after="72" w:line="360" w:lineRule="auto"/>
        <w:rPr>
          <w:rFonts w:ascii="方正仿宋简体" w:eastAsia="方正仿宋简体"/>
          <w:sz w:val="24"/>
          <w:szCs w:val="24"/>
        </w:rPr>
      </w:pPr>
      <w:r>
        <w:rPr>
          <w:rFonts w:ascii="方正仿宋简体" w:eastAsia="方正仿宋简体"/>
          <w:sz w:val="24"/>
          <w:szCs w:val="24"/>
        </w:rPr>
        <w:t>  本产品配置较高比例的存款和政策性金融债等高流动性资产,整体流动性风险可控。</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25361C" w:rsidRDefault="00CD5DF8">
      <w:pPr>
        <w:snapToGrid/>
        <w:spacing w:before="240" w:after="72" w:line="360" w:lineRule="auto"/>
        <w:ind w:firstLineChars="200" w:firstLine="480"/>
        <w:jc w:val="both"/>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Z70009份额净值为1.1031</w:t>
      </w:r>
      <w:r>
        <w:rPr>
          <w:rFonts w:ascii="方正仿宋简体" w:eastAsia="方正仿宋简体" w:hint="eastAsia"/>
          <w:sz w:val="24"/>
          <w:szCs w:val="24"/>
        </w:rPr>
        <w:t>元。</w:t>
      </w:r>
    </w:p>
    <w:p w:rsidR="0025361C" w:rsidRDefault="0025361C">
      <w:pPr>
        <w:spacing w:before="240" w:after="72" w:line="360" w:lineRule="auto"/>
        <w:rPr>
          <w:rFonts w:ascii="方正仿宋_GBK" w:eastAsia="方正仿宋_GBK" w:hAnsi="宋体"/>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98.97%</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90.09%</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1.03%</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9.90%</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0.01%</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25361C">
        <w:trPr>
          <w:trHeight w:val="1233"/>
          <w:jc w:val="center"/>
        </w:trPr>
        <w:tc>
          <w:tcPr>
            <w:tcW w:w="75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ZZGJT202007060001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鑫沅资产金梅花141号集合资产管理计划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225,066,975.27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49.16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ZJQTT202503170027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77,360,861.95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16.90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55,194,794.33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XJCKX202302280001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工商银行南分活期存款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37,676,227.86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ZJQTT202404250022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19,679,726.64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ZJQTT202203210001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招商基金-安鑫1号集合资产管理计划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12,867,630.54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ZJQTT202404260001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景顺长城南景悦享2号集合资产管理计划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8,415,153.15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ZJQTT202304110023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华泰资产宁泰稳利资产管理产品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8,174,230.37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ZJQTT202101180001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易方达基金鸿鹤1号集合资产管理计划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3,698,982.73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0.81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XJCKX202212020001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农业银行活期存款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1,186,367.27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0.26</w:t>
            </w:r>
          </w:p>
        </w:tc>
      </w:tr>
    </w:tbl>
    <w:p w:rsidR="0025361C" w:rsidRDefault="0025361C">
      <w:pPr>
        <w:spacing w:before="240" w:after="72" w:line="360" w:lineRule="auto"/>
        <w:rPr>
          <w:rFonts w:ascii="方正仿宋_GBK" w:eastAsia="方正仿宋_GBK" w:hAnsi="宋体" w:cs="宋体"/>
          <w:sz w:val="24"/>
          <w:szCs w:val="24"/>
          <w:shd w:val="clear" w:color="auto" w:fill="FFFFFF"/>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63"/>
        <w:gridCol w:w="1671"/>
        <w:gridCol w:w="1252"/>
        <w:gridCol w:w="1511"/>
        <w:gridCol w:w="1357"/>
        <w:gridCol w:w="1248"/>
        <w:gridCol w:w="1000"/>
      </w:tblGrid>
      <w:tr w:rsidR="0025361C">
        <w:trPr>
          <w:trHeight w:val="1078"/>
          <w:jc w:val="center"/>
        </w:trPr>
        <w:tc>
          <w:tcPr>
            <w:tcW w:w="863"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67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5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1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5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4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100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6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6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5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1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5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4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00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25361C">
      <w:pPr>
        <w:spacing w:before="240" w:after="72" w:line="360" w:lineRule="auto"/>
        <w:rPr>
          <w:rFonts w:ascii="方正仿宋_GBK" w:eastAsia="方正仿宋_GBK" w:hAnsi="宋体" w:cs="宋体"/>
          <w:sz w:val="24"/>
          <w:szCs w:val="24"/>
          <w:shd w:val="clear" w:color="auto" w:fill="FFFFFF"/>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696"/>
        <w:gridCol w:w="1567"/>
        <w:gridCol w:w="2668"/>
        <w:gridCol w:w="1983"/>
        <w:gridCol w:w="1988"/>
      </w:tblGrid>
      <w:tr w:rsidR="0025361C">
        <w:trPr>
          <w:trHeight w:val="584"/>
          <w:jc w:val="center"/>
        </w:trPr>
        <w:tc>
          <w:tcPr>
            <w:tcW w:w="696"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6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69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6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0120060000000863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南银理财财富牛最低持有280天</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25361C" w:rsidRDefault="005E567C">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CD5DF8">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8C4C5A">
      <w:pPr>
        <w:spacing w:before="240" w:after="72" w:line="360" w:lineRule="auto"/>
        <w:rPr>
          <w:rFonts w:ascii="方正仿宋简体" w:eastAsia="方正仿宋简体"/>
          <w:b/>
          <w:sz w:val="24"/>
          <w:szCs w:val="24"/>
        </w:rPr>
      </w:pPr>
      <w:r>
        <w:rPr>
          <w:rFonts w:ascii="方正仿宋简体" w:eastAsia="方正仿宋简体" w:hint="eastAsia"/>
          <w:b/>
          <w:sz w:val="24"/>
          <w:szCs w:val="24"/>
        </w:rPr>
        <w:lastRenderedPageBreak/>
        <w:t>6.</w:t>
      </w:r>
      <w:r w:rsidR="00CD5DF8">
        <w:rPr>
          <w:rFonts w:ascii="方正仿宋简体" w:eastAsia="方正仿宋简体" w:hint="eastAsia"/>
          <w:b/>
          <w:sz w:val="24"/>
          <w:szCs w:val="24"/>
        </w:rPr>
        <w:t>2</w:t>
      </w:r>
      <w:r w:rsidR="00CD5DF8">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3</w:t>
      </w:r>
      <w:r w:rsidR="00CD5DF8">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鑫沅资产金梅花141号集合资产管理计划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ZZGJT202007060001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27540525.57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35000000.00</w:t>
            </w:r>
          </w:p>
        </w:tc>
      </w:tr>
    </w:tbl>
    <w:p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4</w:t>
      </w:r>
      <w:r w:rsidR="00CD5DF8">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25361C">
        <w:trPr>
          <w:trHeight w:val="1048"/>
          <w:jc w:val="center"/>
        </w:trPr>
        <w:tc>
          <w:tcPr>
            <w:tcW w:w="87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145982.78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18395.08</w:t>
            </w:r>
          </w:p>
        </w:tc>
      </w:tr>
    </w:tbl>
    <w:p w:rsidR="0025361C" w:rsidRDefault="0025361C">
      <w:pPr>
        <w:spacing w:before="240" w:after="72" w:line="360" w:lineRule="auto"/>
        <w:rPr>
          <w:rFonts w:ascii="方正仿宋_GBK" w:eastAsia="方正仿宋_GBK" w:hAnsi="宋体" w:cs="宋体"/>
          <w:kern w:val="0"/>
          <w:sz w:val="24"/>
          <w:szCs w:val="24"/>
        </w:rPr>
      </w:pPr>
    </w:p>
    <w:p w:rsidR="0025361C" w:rsidRDefault="0025361C">
      <w:pPr>
        <w:spacing w:before="240" w:after="72" w:line="360" w:lineRule="auto"/>
        <w:jc w:val="right"/>
        <w:rPr>
          <w:rFonts w:ascii="方正仿宋_GBK" w:eastAsia="方正仿宋_GBK"/>
          <w:b/>
          <w:sz w:val="24"/>
          <w:szCs w:val="24"/>
        </w:rPr>
      </w:pPr>
    </w:p>
    <w:p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南银理财有限责任公司</w:t>
      </w:r>
    </w:p>
    <w:p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2026年03月31日</w:t>
      </w:r>
    </w:p>
    <w:sectPr w:rsidR="0025361C" w:rsidSect="0025361C">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DF8" w:rsidRDefault="00CD5DF8" w:rsidP="005E567C">
      <w:pPr>
        <w:spacing w:after="72"/>
      </w:pPr>
      <w:r>
        <w:separator/>
      </w:r>
    </w:p>
  </w:endnote>
  <w:endnote w:type="continuationSeparator" w:id="1">
    <w:p w:rsidR="00CD5DF8" w:rsidRDefault="00CD5DF8" w:rsidP="005E567C">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framePr w:wrap="around" w:vAnchor="text" w:hAnchor="margin" w:xAlign="center" w:y="1"/>
      <w:spacing w:after="72"/>
      <w:rPr>
        <w:rStyle w:val="a6"/>
      </w:rPr>
    </w:pPr>
    <w:r>
      <w:fldChar w:fldCharType="begin"/>
    </w:r>
    <w:r w:rsidR="00CD5DF8">
      <w:rPr>
        <w:rStyle w:val="a6"/>
      </w:rPr>
      <w:instrText xml:space="preserve">PAGE  </w:instrText>
    </w:r>
    <w:r>
      <w:fldChar w:fldCharType="end"/>
    </w:r>
  </w:p>
  <w:p w:rsidR="0025361C" w:rsidRDefault="0025361C">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DF8" w:rsidRDefault="00CD5DF8" w:rsidP="005E567C">
      <w:pPr>
        <w:spacing w:after="72"/>
      </w:pPr>
      <w:r>
        <w:separator/>
      </w:r>
    </w:p>
  </w:footnote>
  <w:footnote w:type="continuationSeparator" w:id="1">
    <w:p w:rsidR="00CD5DF8" w:rsidRDefault="00CD5DF8" w:rsidP="005E567C">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044BE"/>
    <w:rsid w:val="000121D1"/>
    <w:rsid w:val="00012B94"/>
    <w:rsid w:val="00012CAC"/>
    <w:rsid w:val="000203D8"/>
    <w:rsid w:val="000215AD"/>
    <w:rsid w:val="00063EA9"/>
    <w:rsid w:val="00072345"/>
    <w:rsid w:val="00097C35"/>
    <w:rsid w:val="000B288D"/>
    <w:rsid w:val="000B2B7B"/>
    <w:rsid w:val="000B4524"/>
    <w:rsid w:val="000C61EE"/>
    <w:rsid w:val="00106906"/>
    <w:rsid w:val="0012494A"/>
    <w:rsid w:val="0013793E"/>
    <w:rsid w:val="00137D06"/>
    <w:rsid w:val="001421A0"/>
    <w:rsid w:val="0015692D"/>
    <w:rsid w:val="001765C7"/>
    <w:rsid w:val="0018311F"/>
    <w:rsid w:val="00210CF6"/>
    <w:rsid w:val="0021176D"/>
    <w:rsid w:val="00245BA0"/>
    <w:rsid w:val="00247E87"/>
    <w:rsid w:val="0025361C"/>
    <w:rsid w:val="00262B4B"/>
    <w:rsid w:val="002C44B3"/>
    <w:rsid w:val="002E0397"/>
    <w:rsid w:val="00303D68"/>
    <w:rsid w:val="0030434F"/>
    <w:rsid w:val="00320EE0"/>
    <w:rsid w:val="0032401B"/>
    <w:rsid w:val="0034796F"/>
    <w:rsid w:val="00352282"/>
    <w:rsid w:val="00355FD9"/>
    <w:rsid w:val="00375A11"/>
    <w:rsid w:val="0039556B"/>
    <w:rsid w:val="00395C1C"/>
    <w:rsid w:val="003C00A0"/>
    <w:rsid w:val="003D3C54"/>
    <w:rsid w:val="0040415E"/>
    <w:rsid w:val="00414B37"/>
    <w:rsid w:val="0041563E"/>
    <w:rsid w:val="00463146"/>
    <w:rsid w:val="004822D3"/>
    <w:rsid w:val="00486D6C"/>
    <w:rsid w:val="0049452A"/>
    <w:rsid w:val="004A024D"/>
    <w:rsid w:val="004C1007"/>
    <w:rsid w:val="004D7F94"/>
    <w:rsid w:val="004E5012"/>
    <w:rsid w:val="004F1BE6"/>
    <w:rsid w:val="004F595C"/>
    <w:rsid w:val="00505062"/>
    <w:rsid w:val="0055573F"/>
    <w:rsid w:val="00573EE2"/>
    <w:rsid w:val="005A7904"/>
    <w:rsid w:val="005B2789"/>
    <w:rsid w:val="005B5E17"/>
    <w:rsid w:val="005D04CF"/>
    <w:rsid w:val="005E567C"/>
    <w:rsid w:val="005F031B"/>
    <w:rsid w:val="005F7956"/>
    <w:rsid w:val="006053C4"/>
    <w:rsid w:val="00631F68"/>
    <w:rsid w:val="0063323A"/>
    <w:rsid w:val="00650C13"/>
    <w:rsid w:val="006754C1"/>
    <w:rsid w:val="0067684D"/>
    <w:rsid w:val="00676A68"/>
    <w:rsid w:val="0068398A"/>
    <w:rsid w:val="00693399"/>
    <w:rsid w:val="00695491"/>
    <w:rsid w:val="006C7930"/>
    <w:rsid w:val="007120E8"/>
    <w:rsid w:val="00714095"/>
    <w:rsid w:val="00717310"/>
    <w:rsid w:val="007347EF"/>
    <w:rsid w:val="007363F8"/>
    <w:rsid w:val="00751294"/>
    <w:rsid w:val="007620E9"/>
    <w:rsid w:val="00766941"/>
    <w:rsid w:val="007672C3"/>
    <w:rsid w:val="00794F8E"/>
    <w:rsid w:val="007C0575"/>
    <w:rsid w:val="007C36B2"/>
    <w:rsid w:val="007C3F1F"/>
    <w:rsid w:val="007C7DC4"/>
    <w:rsid w:val="007D7CB7"/>
    <w:rsid w:val="007E0C90"/>
    <w:rsid w:val="007E34F4"/>
    <w:rsid w:val="007F2C0A"/>
    <w:rsid w:val="007F53C8"/>
    <w:rsid w:val="008030B3"/>
    <w:rsid w:val="00810A55"/>
    <w:rsid w:val="00820973"/>
    <w:rsid w:val="0084718A"/>
    <w:rsid w:val="00850FCA"/>
    <w:rsid w:val="00870344"/>
    <w:rsid w:val="00882199"/>
    <w:rsid w:val="008833A7"/>
    <w:rsid w:val="00894D12"/>
    <w:rsid w:val="008C4C5A"/>
    <w:rsid w:val="008C7314"/>
    <w:rsid w:val="008F5BE6"/>
    <w:rsid w:val="009150F2"/>
    <w:rsid w:val="0093559E"/>
    <w:rsid w:val="00944F3B"/>
    <w:rsid w:val="009515A9"/>
    <w:rsid w:val="009663C6"/>
    <w:rsid w:val="009800BA"/>
    <w:rsid w:val="009904D8"/>
    <w:rsid w:val="009D0C1A"/>
    <w:rsid w:val="009D656A"/>
    <w:rsid w:val="009D6737"/>
    <w:rsid w:val="009D6D5E"/>
    <w:rsid w:val="009E2AE4"/>
    <w:rsid w:val="009E6E45"/>
    <w:rsid w:val="009F0D8D"/>
    <w:rsid w:val="009F7125"/>
    <w:rsid w:val="00A112F8"/>
    <w:rsid w:val="00A12D79"/>
    <w:rsid w:val="00A274D5"/>
    <w:rsid w:val="00A55DE1"/>
    <w:rsid w:val="00A60FAC"/>
    <w:rsid w:val="00A61A2A"/>
    <w:rsid w:val="00A72E96"/>
    <w:rsid w:val="00A81610"/>
    <w:rsid w:val="00AB2343"/>
    <w:rsid w:val="00AB6CFB"/>
    <w:rsid w:val="00AE2FD4"/>
    <w:rsid w:val="00B1693A"/>
    <w:rsid w:val="00B30356"/>
    <w:rsid w:val="00B31E80"/>
    <w:rsid w:val="00B54020"/>
    <w:rsid w:val="00B6100D"/>
    <w:rsid w:val="00B612B8"/>
    <w:rsid w:val="00B751B8"/>
    <w:rsid w:val="00B86655"/>
    <w:rsid w:val="00B91322"/>
    <w:rsid w:val="00B92DFA"/>
    <w:rsid w:val="00BA2C30"/>
    <w:rsid w:val="00BD00A8"/>
    <w:rsid w:val="00C17A02"/>
    <w:rsid w:val="00C62A28"/>
    <w:rsid w:val="00C872EF"/>
    <w:rsid w:val="00C945B6"/>
    <w:rsid w:val="00CA4B23"/>
    <w:rsid w:val="00CA4CDA"/>
    <w:rsid w:val="00CD5DF8"/>
    <w:rsid w:val="00D038A1"/>
    <w:rsid w:val="00D21AF8"/>
    <w:rsid w:val="00D35825"/>
    <w:rsid w:val="00D36374"/>
    <w:rsid w:val="00D45351"/>
    <w:rsid w:val="00D83890"/>
    <w:rsid w:val="00D95925"/>
    <w:rsid w:val="00DB25C1"/>
    <w:rsid w:val="00DB5077"/>
    <w:rsid w:val="00DD60D3"/>
    <w:rsid w:val="00DE5E66"/>
    <w:rsid w:val="00DE6F49"/>
    <w:rsid w:val="00E022D1"/>
    <w:rsid w:val="00E06F91"/>
    <w:rsid w:val="00E13E4F"/>
    <w:rsid w:val="00E22F50"/>
    <w:rsid w:val="00E355D3"/>
    <w:rsid w:val="00E467AB"/>
    <w:rsid w:val="00E5116E"/>
    <w:rsid w:val="00E728E0"/>
    <w:rsid w:val="00EB38B7"/>
    <w:rsid w:val="00EB5E48"/>
    <w:rsid w:val="00EB6923"/>
    <w:rsid w:val="00EC5DC8"/>
    <w:rsid w:val="00EF1F1C"/>
    <w:rsid w:val="00F01D00"/>
    <w:rsid w:val="00F02F01"/>
    <w:rsid w:val="00F035EE"/>
    <w:rsid w:val="00F167FC"/>
    <w:rsid w:val="00F2084D"/>
    <w:rsid w:val="00F359BD"/>
    <w:rsid w:val="00F4518F"/>
    <w:rsid w:val="00F50865"/>
    <w:rsid w:val="00F62D3E"/>
    <w:rsid w:val="00F65097"/>
    <w:rsid w:val="00F81499"/>
    <w:rsid w:val="00F81FB3"/>
    <w:rsid w:val="00F90D3B"/>
    <w:rsid w:val="00F91E69"/>
    <w:rsid w:val="00F95842"/>
    <w:rsid w:val="00FB320C"/>
    <w:rsid w:val="00FB40D3"/>
    <w:rsid w:val="00FB54AE"/>
    <w:rsid w:val="00FE41E6"/>
    <w:rsid w:val="0A32571F"/>
    <w:rsid w:val="0CC420DD"/>
    <w:rsid w:val="1FC4188E"/>
    <w:rsid w:val="35136ADD"/>
    <w:rsid w:val="3B967EA1"/>
    <w:rsid w:val="4D550AEB"/>
    <w:rsid w:val="509470EC"/>
    <w:rsid w:val="59E74023"/>
    <w:rsid w:val="5A73269D"/>
    <w:rsid w:val="5BFB5547"/>
    <w:rsid w:val="5EBA334B"/>
    <w:rsid w:val="654F116F"/>
    <w:rsid w:val="67344534"/>
    <w:rsid w:val="6B00012E"/>
    <w:rsid w:val="70287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61C"/>
    <w:pPr>
      <w:widowControl w:val="0"/>
      <w:snapToGrid w:val="0"/>
      <w:spacing w:afterLines="3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5361C"/>
    <w:pPr>
      <w:tabs>
        <w:tab w:val="center" w:pos="4153"/>
        <w:tab w:val="right" w:pos="8306"/>
      </w:tabs>
    </w:pPr>
    <w:rPr>
      <w:rFonts w:eastAsiaTheme="minorEastAsia"/>
      <w:sz w:val="18"/>
      <w:szCs w:val="18"/>
    </w:rPr>
  </w:style>
  <w:style w:type="paragraph" w:styleId="a4">
    <w:name w:val="header"/>
    <w:basedOn w:val="a"/>
    <w:link w:val="Char0"/>
    <w:uiPriority w:val="99"/>
    <w:unhideWhenUsed/>
    <w:qFormat/>
    <w:rsid w:val="0025361C"/>
    <w:pPr>
      <w:pBdr>
        <w:bottom w:val="single" w:sz="6" w:space="1" w:color="auto"/>
      </w:pBdr>
      <w:tabs>
        <w:tab w:val="center" w:pos="4153"/>
        <w:tab w:val="right" w:pos="8306"/>
      </w:tabs>
      <w:jc w:val="center"/>
    </w:pPr>
    <w:rPr>
      <w:sz w:val="18"/>
      <w:szCs w:val="18"/>
    </w:rPr>
  </w:style>
  <w:style w:type="paragraph" w:styleId="a5">
    <w:name w:val="Normal (Web)"/>
    <w:basedOn w:val="a"/>
    <w:qFormat/>
    <w:rsid w:val="0025361C"/>
    <w:pPr>
      <w:spacing w:before="100" w:beforeAutospacing="1" w:after="100" w:afterAutospacing="1"/>
    </w:pPr>
    <w:rPr>
      <w:rFonts w:ascii="宋体" w:hAnsi="宋体"/>
      <w:kern w:val="0"/>
      <w:sz w:val="24"/>
      <w:szCs w:val="24"/>
    </w:rPr>
  </w:style>
  <w:style w:type="character" w:styleId="a6">
    <w:name w:val="page number"/>
    <w:basedOn w:val="a0"/>
    <w:uiPriority w:val="99"/>
    <w:unhideWhenUsed/>
    <w:qFormat/>
    <w:rsid w:val="0025361C"/>
  </w:style>
  <w:style w:type="character" w:customStyle="1" w:styleId="Char">
    <w:name w:val="页脚 Char"/>
    <w:link w:val="a3"/>
    <w:uiPriority w:val="99"/>
    <w:qFormat/>
    <w:locked/>
    <w:rsid w:val="0025361C"/>
    <w:rPr>
      <w:rFonts w:ascii="Times New Roman" w:hAnsi="Times New Roman" w:cs="Times New Roman"/>
      <w:sz w:val="18"/>
      <w:szCs w:val="18"/>
    </w:rPr>
  </w:style>
  <w:style w:type="character" w:customStyle="1" w:styleId="Char1">
    <w:name w:val="页脚 Char1"/>
    <w:basedOn w:val="a0"/>
    <w:uiPriority w:val="99"/>
    <w:semiHidden/>
    <w:qFormat/>
    <w:rsid w:val="0025361C"/>
    <w:rPr>
      <w:rFonts w:ascii="Times New Roman" w:eastAsia="宋体" w:hAnsi="Times New Roman" w:cs="Times New Roman"/>
      <w:sz w:val="18"/>
      <w:szCs w:val="18"/>
    </w:rPr>
  </w:style>
  <w:style w:type="paragraph" w:customStyle="1" w:styleId="biaogeleft">
    <w:name w:val="biaoge_left"/>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2">
    <w:name w:val="zhangjie_p2"/>
    <w:basedOn w:val="a"/>
    <w:qFormat/>
    <w:rsid w:val="0025361C"/>
    <w:pPr>
      <w:autoSpaceDE w:val="0"/>
      <w:autoSpaceDN w:val="0"/>
      <w:adjustRightInd w:val="0"/>
      <w:spacing w:before="24" w:line="288" w:lineRule="auto"/>
      <w:ind w:left="15"/>
    </w:pPr>
    <w:rPr>
      <w:rFonts w:ascii="宋体" w:hAnsi="宋体" w:cs="宋体"/>
      <w:kern w:val="0"/>
      <w:sz w:val="24"/>
      <w:szCs w:val="24"/>
    </w:rPr>
  </w:style>
  <w:style w:type="paragraph" w:customStyle="1" w:styleId="biaogecenter">
    <w:name w:val="biaoge_center"/>
    <w:basedOn w:val="a"/>
    <w:qFormat/>
    <w:rsid w:val="0025361C"/>
    <w:pPr>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25361C"/>
    <w:pPr>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25361C"/>
    <w:pPr>
      <w:jc w:val="both"/>
    </w:pPr>
    <w:rPr>
      <w:kern w:val="2"/>
      <w:sz w:val="21"/>
      <w:szCs w:val="21"/>
    </w:rPr>
  </w:style>
  <w:style w:type="paragraph" w:customStyle="1" w:styleId="biaogeright">
    <w:name w:val="biaoge_right"/>
    <w:basedOn w:val="a"/>
    <w:qFormat/>
    <w:rsid w:val="0025361C"/>
    <w:pPr>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
    <w:name w:val="zhangjie_p"/>
    <w:basedOn w:val="a"/>
    <w:qFormat/>
    <w:rsid w:val="0025361C"/>
    <w:pPr>
      <w:autoSpaceDE w:val="0"/>
      <w:autoSpaceDN w:val="0"/>
      <w:adjustRightInd w:val="0"/>
      <w:spacing w:before="24" w:line="288" w:lineRule="auto"/>
      <w:ind w:left="15"/>
      <w:outlineLvl w:val="1"/>
    </w:pPr>
    <w:rPr>
      <w:rFonts w:ascii="宋体" w:hAnsi="宋体" w:cs="宋体"/>
      <w:kern w:val="0"/>
      <w:sz w:val="24"/>
      <w:szCs w:val="24"/>
    </w:rPr>
  </w:style>
  <w:style w:type="paragraph" w:customStyle="1" w:styleId="Default">
    <w:name w:val="Default"/>
    <w:qFormat/>
    <w:rsid w:val="0025361C"/>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25361C"/>
    <w:rPr>
      <w:rFonts w:ascii="Times New Roman" w:eastAsia="宋体" w:hAnsi="Times New Roman" w:cs="Times New Roman"/>
      <w:sz w:val="18"/>
      <w:szCs w:val="18"/>
    </w:rPr>
  </w:style>
  <w:style w:type="paragraph" w:customStyle="1" w:styleId="10">
    <w:name w:val="列出段落1"/>
    <w:basedOn w:val="a"/>
    <w:uiPriority w:val="99"/>
    <w:qFormat/>
    <w:rsid w:val="0025361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420</Words>
  <Characters>2399</Characters>
  <Application>Microsoft Office Word</Application>
  <DocSecurity>0</DocSecurity>
  <Lines>19</Lines>
  <Paragraphs>5</Paragraphs>
  <ScaleCrop>false</ScaleCrop>
  <Company>cc</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2022-07-23T09:20:00Z</dcterms:created>
  <dc:creator>演示人</dc:creator>
  <cp:lastModifiedBy>yytx</cp:lastModifiedBy>
  <dcterms:modified xsi:type="dcterms:W3CDTF">2026-03-27T09:10:00Z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DA7D07A671F94F61B430BF557E8AE20F</vt:lpwstr>
  </property>
</Properties>
</file>