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南银理财珠联璧合鑫逸稳半年156期封闭式公募人民币理财产品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南银理财珠联璧合鑫逸稳半年156期封闭式公募人民币理财产品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Z7003225000404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2025年12月24日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361,282,717.00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兴业国际信托有限公司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Y70156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166,817,392.10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Y71156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104,982,457.81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Y72156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52,727,344.06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Y77156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232,841.25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Y79156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118,627.06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YB70156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16,147,162.01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YF70156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4,196,650.46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YG70156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14,196,337.23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YH70156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3,858,331.63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  产品始终围绕稳健回报的收益目标进行操作，通过持有信用资质较好、绝对收益相对较高的信用债作为底仓，获取稳定可靠的票息收益。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  本产品是封闭式产品，运作稳健，始终坚持谨慎的流动性管理原则，在报告期内，严格匹配资产久期与产品封闭周期。下阶段，产品将继续维持合理的流动性资产比例，做好负债端现金流的跟踪与研判。</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70156份额净值为1.0053元，Y71156份额净值为1.0055元，Y72156份额净值为1.0058元，Y77156份额净值为1.0055元，Y79156份额净值为1.0053元，YB70156份额净值为1.0059元，YF70156份额净值为1.0055元，YG70156份额净值为1.0057元，YH70156份额净值为1.0058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87.36%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12.64%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ZJQTT202511130001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兴业信托-兴南恒盈2号集合资金信托计划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362,512,520.13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99.79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0101030000003968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南银理财珠联璧合鑫逸稳半年156期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160.90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江南农商行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616.93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昆山鹿城村镇银行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36.19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