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5A4D" w14:textId="77777777" w:rsidR="00151CEF" w:rsidRDefault="00151CEF">
      <w:pPr>
        <w:spacing w:before="240" w:after="72" w:line="360" w:lineRule="auto"/>
        <w:rPr>
          <w:rFonts w:asciiTheme="minorEastAsia" w:eastAsiaTheme="minorEastAsia" w:hAnsiTheme="minorEastAsia"/>
        </w:rPr>
      </w:pPr>
    </w:p>
    <w:p w14:paraId="010D1AB0" w14:textId="77777777" w:rsidR="00151CEF" w:rsidRDefault="00151CEF">
      <w:pPr>
        <w:spacing w:before="240" w:after="72" w:line="360" w:lineRule="auto"/>
        <w:rPr>
          <w:rFonts w:asciiTheme="minorEastAsia" w:eastAsiaTheme="minorEastAsia" w:hAnsiTheme="minorEastAsia"/>
        </w:rPr>
      </w:pPr>
    </w:p>
    <w:p w14:paraId="6EC575D3" w14:textId="77777777" w:rsidR="00151CEF" w:rsidRDefault="00151CEF">
      <w:pPr>
        <w:spacing w:before="240" w:after="72" w:line="360" w:lineRule="auto"/>
        <w:rPr>
          <w:rFonts w:asciiTheme="minorEastAsia" w:eastAsiaTheme="minorEastAsia" w:hAnsiTheme="minorEastAsia"/>
        </w:rPr>
      </w:pPr>
    </w:p>
    <w:p w14:paraId="28462015" w14:textId="77777777" w:rsidR="00151CEF" w:rsidRDefault="003E5C34">
      <w:pPr>
        <w:snapToGrid w:val="0"/>
        <w:spacing w:before="240" w:after="72" w:line="360" w:lineRule="auto"/>
        <w:jc w:val="center"/>
        <w:rPr>
          <w:rFonts w:ascii="方正黑体简体" w:eastAsia="方正黑体简体" w:hAnsi="Calibri"/>
          <w:sz w:val="36"/>
        </w:rPr>
      </w:pPr>
      <w:proofErr w:type="gramStart"/>
      <w:r>
        <w:rPr>
          <w:rFonts w:ascii="方正黑体简体" w:eastAsia="方正黑体简体" w:hAnsi="Calibri" w:hint="eastAsia"/>
          <w:sz w:val="36"/>
        </w:rPr>
        <w:t>南银理财</w:t>
      </w:r>
      <w:proofErr w:type="gramEnd"/>
      <w:r>
        <w:rPr>
          <w:rFonts w:ascii="方正黑体简体" w:eastAsia="方正黑体简体" w:hAnsi="Calibri" w:hint="eastAsia"/>
          <w:sz w:val="36"/>
        </w:rPr>
        <w:t>增瑞财富牛（最低持有120天）1号公募人民币理财产品</w:t>
      </w:r>
    </w:p>
    <w:p w14:paraId="25499162" w14:textId="77777777"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2026年第1季度报告</w:t>
      </w:r>
    </w:p>
    <w:p w14:paraId="125B2895" w14:textId="77777777" w:rsidR="00151CEF" w:rsidRDefault="00151CEF">
      <w:pPr>
        <w:spacing w:before="240" w:after="72" w:line="360" w:lineRule="auto"/>
        <w:jc w:val="center"/>
        <w:rPr>
          <w:rFonts w:ascii="方正黑体简体" w:eastAsia="方正黑体简体"/>
          <w:sz w:val="36"/>
          <w:szCs w:val="36"/>
        </w:rPr>
      </w:pPr>
    </w:p>
    <w:p w14:paraId="4E3096A6" w14:textId="77777777" w:rsidR="00151CEF" w:rsidRDefault="00151CEF">
      <w:pPr>
        <w:spacing w:before="240" w:after="72" w:line="360" w:lineRule="auto"/>
        <w:jc w:val="center"/>
        <w:rPr>
          <w:rFonts w:ascii="方正黑体简体" w:eastAsia="方正黑体简体"/>
          <w:sz w:val="36"/>
          <w:szCs w:val="36"/>
        </w:rPr>
      </w:pPr>
    </w:p>
    <w:p w14:paraId="391032D3" w14:textId="77777777" w:rsidR="00151CEF" w:rsidRDefault="00151CEF">
      <w:pPr>
        <w:spacing w:before="240" w:after="72" w:line="360" w:lineRule="auto"/>
        <w:jc w:val="center"/>
        <w:rPr>
          <w:rFonts w:ascii="方正黑体简体" w:eastAsia="方正黑体简体"/>
          <w:sz w:val="36"/>
          <w:szCs w:val="36"/>
        </w:rPr>
      </w:pPr>
    </w:p>
    <w:p w14:paraId="3D7A9E4C" w14:textId="77777777" w:rsidR="00151CEF" w:rsidRDefault="00151CEF">
      <w:pPr>
        <w:spacing w:before="240" w:after="72" w:line="360" w:lineRule="auto"/>
        <w:jc w:val="center"/>
        <w:rPr>
          <w:rFonts w:ascii="方正黑体简体" w:eastAsia="方正黑体简体"/>
          <w:sz w:val="36"/>
          <w:szCs w:val="36"/>
        </w:rPr>
      </w:pPr>
    </w:p>
    <w:p w14:paraId="241794B1" w14:textId="77777777"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proofErr w:type="gramStart"/>
      <w:r>
        <w:rPr>
          <w:rFonts w:ascii="方正仿宋简体" w:eastAsia="方正仿宋简体" w:hint="eastAsia"/>
          <w:b/>
          <w:sz w:val="24"/>
          <w:szCs w:val="24"/>
        </w:rPr>
        <w:t>南银理财</w:t>
      </w:r>
      <w:proofErr w:type="gramEnd"/>
      <w:r>
        <w:rPr>
          <w:rFonts w:ascii="方正仿宋简体" w:eastAsia="方正仿宋简体" w:hint="eastAsia"/>
          <w:b/>
          <w:sz w:val="24"/>
          <w:szCs w:val="24"/>
        </w:rPr>
        <w:t>有限责任公司</w:t>
      </w:r>
    </w:p>
    <w:p w14:paraId="37AFFDED" w14:textId="77777777"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14:paraId="75AD4CB4" w14:textId="77777777" w:rsidR="00151CEF" w:rsidRDefault="00151CEF">
      <w:pPr>
        <w:spacing w:before="240" w:after="72" w:line="360" w:lineRule="auto"/>
        <w:rPr>
          <w:rFonts w:ascii="方正黑体简体" w:eastAsia="方正黑体简体"/>
          <w:sz w:val="36"/>
          <w:szCs w:val="36"/>
        </w:rPr>
      </w:pPr>
    </w:p>
    <w:p w14:paraId="14648CE7" w14:textId="77777777" w:rsidR="00151CEF" w:rsidRDefault="00151CEF">
      <w:pPr>
        <w:spacing w:before="240" w:after="72" w:line="360" w:lineRule="auto"/>
        <w:rPr>
          <w:rFonts w:ascii="方正黑体简体" w:eastAsia="方正黑体简体"/>
          <w:sz w:val="36"/>
          <w:szCs w:val="36"/>
        </w:rPr>
      </w:pPr>
    </w:p>
    <w:p w14:paraId="707E48F7" w14:textId="77777777"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lastRenderedPageBreak/>
        <w:br w:type="page"/>
      </w:r>
    </w:p>
    <w:p w14:paraId="37C21DC6"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§1 产品概况</w:t>
      </w:r>
    </w:p>
    <w:tbl>
      <w:tblPr>
        <w:tblpPr w:leftFromText="180" w:rightFromText="180" w:vertAnchor="text" w:tblpXSpec="center" w:tblpY="1"/>
        <w:tblOverlap w:val="never"/>
        <w:tblW w:w="8897"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2719"/>
        <w:gridCol w:w="6178"/>
      </w:tblGrid>
      <w:tr w:rsidR="00151CEF" w14:paraId="767D6CB9" w14:textId="77777777" w:rsidTr="00117968">
        <w:trPr>
          <w:trHeight w:val="714"/>
          <w:jc w:val="center"/>
        </w:trPr>
        <w:tc>
          <w:tcPr>
            <w:tcW w:w="2719" w:type="dxa"/>
            <w:vAlign w:val="center"/>
          </w:tcPr>
          <w:p w14:paraId="2CFCFA17"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14:paraId="001310F0" w14:textId="77777777" w:rsidR="00151CEF" w:rsidRDefault="003E5C34" w:rsidP="008B1379">
            <w:pPr>
              <w:spacing w:beforeLines="20" w:before="48" w:afterLines="20" w:after="48"/>
              <w:jc w:val="left"/>
              <w:rPr>
                <w:rFonts w:ascii="方正仿宋简体" w:eastAsia="方正仿宋简体"/>
                <w:sz w:val="24"/>
                <w:szCs w:val="24"/>
              </w:rPr>
            </w:pPr>
            <w:proofErr w:type="gramStart"/>
            <w:r>
              <w:rPr>
                <w:rFonts w:ascii="方正仿宋简体" w:eastAsia="方正仿宋简体" w:hint="eastAsia"/>
                <w:sz w:val="24"/>
                <w:szCs w:val="24"/>
              </w:rPr>
              <w:t>南银理财</w:t>
            </w:r>
            <w:proofErr w:type="gramEnd"/>
            <w:r>
              <w:rPr>
                <w:rFonts w:ascii="方正仿宋简体" w:eastAsia="方正仿宋简体" w:hint="eastAsia"/>
                <w:sz w:val="24"/>
                <w:szCs w:val="24"/>
              </w:rPr>
              <w:t>增瑞财富牛（最低持有120天）1号公募人民币理财产品</w:t>
            </w:r>
          </w:p>
        </w:tc>
      </w:tr>
      <w:tr w:rsidR="00151CEF" w14:paraId="5D321369" w14:textId="77777777" w:rsidTr="00117968">
        <w:trPr>
          <w:trHeight w:val="1300"/>
          <w:jc w:val="center"/>
        </w:trPr>
        <w:tc>
          <w:tcPr>
            <w:tcW w:w="2719" w:type="dxa"/>
            <w:vAlign w:val="center"/>
          </w:tcPr>
          <w:p w14:paraId="44C0F57C"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14:paraId="39967C79"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Z7003224000203（投资者可依据该编码在中国</w:t>
            </w:r>
            <w:proofErr w:type="gramStart"/>
            <w:r>
              <w:rPr>
                <w:rFonts w:ascii="方正仿宋简体" w:eastAsia="方正仿宋简体" w:hint="eastAsia"/>
                <w:sz w:val="24"/>
                <w:szCs w:val="24"/>
              </w:rPr>
              <w:t>理财网</w:t>
            </w:r>
            <w:proofErr w:type="gramEnd"/>
            <w:r>
              <w:rPr>
                <w:rFonts w:ascii="方正仿宋简体" w:eastAsia="方正仿宋简体" w:hint="eastAsia"/>
                <w:sz w:val="24"/>
                <w:szCs w:val="24"/>
              </w:rPr>
              <w:t>www.chinawealth.com.cn查询理财产品相关信息）</w:t>
            </w:r>
          </w:p>
        </w:tc>
      </w:tr>
      <w:tr w:rsidR="00151CEF" w14:paraId="3A975204" w14:textId="77777777" w:rsidTr="00117968">
        <w:trPr>
          <w:trHeight w:val="714"/>
          <w:jc w:val="center"/>
        </w:trPr>
        <w:tc>
          <w:tcPr>
            <w:tcW w:w="2719" w:type="dxa"/>
            <w:vAlign w:val="center"/>
          </w:tcPr>
          <w:p w14:paraId="651F7ABC"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14:paraId="03B4651A"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14:paraId="0E97E31D" w14:textId="77777777" w:rsidTr="00117968">
        <w:trPr>
          <w:trHeight w:val="714"/>
          <w:jc w:val="center"/>
        </w:trPr>
        <w:tc>
          <w:tcPr>
            <w:tcW w:w="2719" w:type="dxa"/>
            <w:vAlign w:val="center"/>
          </w:tcPr>
          <w:p w14:paraId="5A322670"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14:paraId="50F97F5D"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2024年09月27日</w:t>
            </w:r>
          </w:p>
        </w:tc>
      </w:tr>
      <w:tr w:rsidR="00151CEF" w14:paraId="35061120" w14:textId="77777777" w:rsidTr="00117968">
        <w:trPr>
          <w:trHeight w:val="714"/>
          <w:jc w:val="center"/>
        </w:trPr>
        <w:tc>
          <w:tcPr>
            <w:tcW w:w="2719" w:type="dxa"/>
            <w:vAlign w:val="center"/>
          </w:tcPr>
          <w:p w14:paraId="73F07838"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14:paraId="6B40EE62"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4,953,620,158.62份</w:t>
            </w:r>
          </w:p>
        </w:tc>
      </w:tr>
      <w:tr w:rsidR="00151CEF" w14:paraId="5D9EDA8D" w14:textId="77777777" w:rsidTr="00117968">
        <w:trPr>
          <w:trHeight w:val="688"/>
          <w:jc w:val="center"/>
        </w:trPr>
        <w:tc>
          <w:tcPr>
            <w:tcW w:w="2719" w:type="dxa"/>
            <w:vAlign w:val="center"/>
          </w:tcPr>
          <w:p w14:paraId="44CBC547"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14:paraId="585C07AA"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中欧基金管理有限公司,中粮信托有限责任公司,中诚信托有限责任公司,兴业基金管理有限公司,华夏基金管理有限公司,华安基金管理有限公司,华</w:t>
            </w:r>
            <w:proofErr w:type="gramStart"/>
            <w:r>
              <w:rPr>
                <w:rFonts w:ascii="方正仿宋简体" w:eastAsia="方正仿宋简体" w:hint="eastAsia"/>
                <w:sz w:val="24"/>
                <w:szCs w:val="24"/>
              </w:rPr>
              <w:t>宝基金</w:t>
            </w:r>
            <w:proofErr w:type="gramEnd"/>
            <w:r>
              <w:rPr>
                <w:rFonts w:ascii="方正仿宋简体" w:eastAsia="方正仿宋简体" w:hint="eastAsia"/>
                <w:sz w:val="24"/>
                <w:szCs w:val="24"/>
              </w:rPr>
              <w:t>管理有限公司,华泰资产管理有限公司,华鑫证券有限责任公司,国泰基金管理有限公司,富国基金管理有限公司,广发基金管理有限公司,招商基金管理有限公司,</w:t>
            </w:r>
            <w:proofErr w:type="gramStart"/>
            <w:r>
              <w:rPr>
                <w:rFonts w:ascii="方正仿宋简体" w:eastAsia="方正仿宋简体" w:hint="eastAsia"/>
                <w:sz w:val="24"/>
                <w:szCs w:val="24"/>
              </w:rPr>
              <w:t>鑫沅</w:t>
            </w:r>
            <w:proofErr w:type="gramEnd"/>
            <w:r>
              <w:rPr>
                <w:rFonts w:ascii="方正仿宋简体" w:eastAsia="方正仿宋简体" w:hint="eastAsia"/>
                <w:sz w:val="24"/>
                <w:szCs w:val="24"/>
              </w:rPr>
              <w:t>资产管理有限公司,易方达基金管理有限公司,中国人</w:t>
            </w:r>
            <w:proofErr w:type="gramStart"/>
            <w:r>
              <w:rPr>
                <w:rFonts w:ascii="方正仿宋简体" w:eastAsia="方正仿宋简体" w:hint="eastAsia"/>
                <w:sz w:val="24"/>
                <w:szCs w:val="24"/>
              </w:rPr>
              <w:t>寿资产</w:t>
            </w:r>
            <w:proofErr w:type="gramEnd"/>
            <w:r>
              <w:rPr>
                <w:rFonts w:ascii="方正仿宋简体" w:eastAsia="方正仿宋简体" w:hint="eastAsia"/>
                <w:sz w:val="24"/>
                <w:szCs w:val="24"/>
              </w:rPr>
              <w:t>管理有限公司,华泰柏瑞基金管理有限公司,南方基金管理股份有限公司,景顺长城基金管理有限公司,长江养老保险股份有限公司,上海东方证券资产管理有限公司,中国对外经济贸易信托有限公司,百年保险资产管理有限责任公司</w:t>
            </w:r>
          </w:p>
        </w:tc>
      </w:tr>
      <w:tr w:rsidR="00151CEF" w14:paraId="3A3131A4" w14:textId="77777777" w:rsidTr="00117968">
        <w:trPr>
          <w:trHeight w:val="714"/>
          <w:jc w:val="center"/>
        </w:trPr>
        <w:tc>
          <w:tcPr>
            <w:tcW w:w="2719" w:type="dxa"/>
            <w:vAlign w:val="center"/>
          </w:tcPr>
          <w:p w14:paraId="32332C3D"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14:paraId="7034F1E8" w14:textId="77777777" w:rsidR="00151CEF" w:rsidRDefault="003E5C34" w:rsidP="008B1379">
            <w:pPr>
              <w:spacing w:beforeLines="20" w:before="48" w:afterLines="20" w:after="48"/>
              <w:jc w:val="left"/>
              <w:rPr>
                <w:rFonts w:ascii="方正仿宋简体" w:eastAsia="方正仿宋简体"/>
                <w:sz w:val="24"/>
                <w:szCs w:val="24"/>
              </w:rPr>
            </w:pPr>
            <w:proofErr w:type="gramStart"/>
            <w:r>
              <w:rPr>
                <w:rFonts w:ascii="方正仿宋简体" w:eastAsia="方正仿宋简体" w:hint="eastAsia"/>
                <w:sz w:val="24"/>
                <w:szCs w:val="24"/>
              </w:rPr>
              <w:t>南银理财</w:t>
            </w:r>
            <w:proofErr w:type="gramEnd"/>
            <w:r>
              <w:rPr>
                <w:rFonts w:ascii="方正仿宋简体" w:eastAsia="方正仿宋简体" w:hint="eastAsia"/>
                <w:sz w:val="24"/>
                <w:szCs w:val="24"/>
              </w:rPr>
              <w:t>有限责任公司</w:t>
            </w:r>
          </w:p>
        </w:tc>
      </w:tr>
      <w:tr w:rsidR="00151CEF" w14:paraId="5CDC60A0" w14:textId="77777777" w:rsidTr="00117968">
        <w:trPr>
          <w:trHeight w:val="714"/>
          <w:jc w:val="center"/>
        </w:trPr>
        <w:tc>
          <w:tcPr>
            <w:tcW w:w="2719" w:type="dxa"/>
            <w:vAlign w:val="center"/>
          </w:tcPr>
          <w:p w14:paraId="0C4A2AD6"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14:paraId="145A0772"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14:paraId="0D73CD85" w14:textId="77777777" w:rsidR="00151CEF" w:rsidRDefault="00151CEF">
      <w:pPr>
        <w:spacing w:before="240" w:after="72" w:line="360" w:lineRule="auto"/>
        <w:rPr>
          <w:rFonts w:ascii="方正仿宋_GBK" w:eastAsia="方正仿宋_GBK" w:hAnsi="宋体" w:cs="宋体"/>
          <w:kern w:val="0"/>
          <w:sz w:val="24"/>
          <w:szCs w:val="24"/>
        </w:rPr>
      </w:pPr>
    </w:p>
    <w:p w14:paraId="2EA0104E"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§2  主要财务指标</w:t>
      </w:r>
    </w:p>
    <w:p w14:paraId="4D9E4186"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2.1 主要财务指标</w:t>
      </w:r>
    </w:p>
    <w:p w14:paraId="4B448C91" w14:textId="77777777"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lastRenderedPageBreak/>
        <w:t>单位：人民币元</w:t>
      </w:r>
    </w:p>
    <w:tbl>
      <w:tblPr>
        <w:tblpPr w:leftFromText="180" w:rightFromText="180" w:vertAnchor="text" w:tblpXSpec="center" w:tblpY="1"/>
        <w:tblOverlap w:val="never"/>
        <w:tblW w:w="9067"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1838"/>
        <w:gridCol w:w="2693"/>
        <w:gridCol w:w="2410"/>
        <w:gridCol w:w="2126"/>
      </w:tblGrid>
      <w:tr w:rsidR="00151CEF" w14:paraId="444F4009" w14:textId="77777777">
        <w:trPr>
          <w:trHeight w:val="699"/>
          <w:jc w:val="center"/>
        </w:trPr>
        <w:tc>
          <w:tcPr>
            <w:tcW w:w="1838" w:type="dxa"/>
            <w:vMerge w:val="restart"/>
            <w:vAlign w:val="center"/>
          </w:tcPr>
          <w:p w14:paraId="1FD17D2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14:paraId="42BC13C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报告期（2026年01月01日 - 2026年03月31日）</w:t>
            </w:r>
          </w:p>
        </w:tc>
      </w:tr>
      <w:tr w:rsidR="00151CEF" w14:paraId="0B332C1D" w14:textId="77777777">
        <w:trPr>
          <w:trHeight w:val="1697"/>
          <w:jc w:val="center"/>
        </w:trPr>
        <w:tc>
          <w:tcPr>
            <w:tcW w:w="1838" w:type="dxa"/>
            <w:vMerge/>
            <w:vAlign w:val="center"/>
          </w:tcPr>
          <w:p w14:paraId="2F588072" w14:textId="77777777" w:rsidR="00151CEF" w:rsidRDefault="00151CEF" w:rsidP="008B1379">
            <w:pPr>
              <w:spacing w:beforeLines="20" w:before="48" w:afterLines="20" w:after="48"/>
              <w:jc w:val="center"/>
              <w:rPr>
                <w:rFonts w:ascii="方正仿宋简体" w:eastAsia="方正仿宋简体"/>
                <w:sz w:val="24"/>
                <w:szCs w:val="24"/>
              </w:rPr>
            </w:pPr>
          </w:p>
        </w:tc>
        <w:tc>
          <w:tcPr>
            <w:tcW w:w="2693" w:type="dxa"/>
            <w:vAlign w:val="center"/>
          </w:tcPr>
          <w:p w14:paraId="714473D2"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1.期末产品最后一个市场交易</w:t>
            </w:r>
            <w:proofErr w:type="gramStart"/>
            <w:r>
              <w:rPr>
                <w:rFonts w:ascii="方正仿宋简体" w:eastAsia="方正仿宋简体" w:hint="eastAsia"/>
                <w:sz w:val="24"/>
                <w:szCs w:val="24"/>
              </w:rPr>
              <w:t>日资产</w:t>
            </w:r>
            <w:proofErr w:type="gramEnd"/>
            <w:r>
              <w:rPr>
                <w:rFonts w:ascii="方正仿宋简体" w:eastAsia="方正仿宋简体" w:hint="eastAsia"/>
                <w:sz w:val="24"/>
                <w:szCs w:val="24"/>
              </w:rPr>
              <w:t>净值</w:t>
            </w:r>
          </w:p>
        </w:tc>
        <w:tc>
          <w:tcPr>
            <w:tcW w:w="2410" w:type="dxa"/>
            <w:vAlign w:val="center"/>
          </w:tcPr>
          <w:p w14:paraId="6A1C3A6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2126" w:type="dxa"/>
            <w:vAlign w:val="center"/>
          </w:tcPr>
          <w:p w14:paraId="57F91F5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r>
      <w:tr w:rsidR="005A53ED" w14:paraId="3DC41620" w14:textId="77777777">
        <w:trPr>
          <w:trHeight w:val="565"/>
          <w:jc w:val="center"/>
        </w:trPr>
        <w:tc>
          <w:tcPr>
            <w:tcW w:w="1838" w:type="dxa"/>
            <w:vAlign w:val="center"/>
          </w:tcPr>
          <w:p w14:paraId="4530052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Z70015</w:t>
            </w:r>
          </w:p>
        </w:tc>
        <w:tc>
          <w:tcPr>
            <w:tcW w:w="2693" w:type="dxa"/>
            <w:vAlign w:val="center"/>
          </w:tcPr>
          <w:p w14:paraId="5E42F1A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4,824,480,086.65</w:t>
            </w:r>
          </w:p>
        </w:tc>
        <w:tc>
          <w:tcPr>
            <w:tcW w:w="2410" w:type="dxa"/>
            <w:vAlign w:val="center"/>
          </w:tcPr>
          <w:p w14:paraId="493E5662"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1.050477</w:t>
            </w:r>
          </w:p>
        </w:tc>
        <w:tc>
          <w:tcPr>
            <w:tcW w:w="2126" w:type="dxa"/>
            <w:vAlign w:val="center"/>
          </w:tcPr>
          <w:p w14:paraId="7784D3F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1.050477</w:t>
            </w:r>
          </w:p>
        </w:tc>
      </w:tr>
      <w:tr w:rsidR="005A53ED" w14:paraId="34B58372" w14:textId="77777777">
        <w:trPr>
          <w:trHeight w:val="565"/>
          <w:jc w:val="center"/>
        </w:trPr>
        <w:tc>
          <w:tcPr>
            <w:tcW w:w="1838" w:type="dxa"/>
            <w:vAlign w:val="center"/>
          </w:tcPr>
          <w:p w14:paraId="2691A56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Z70016</w:t>
            </w:r>
          </w:p>
        </w:tc>
        <w:tc>
          <w:tcPr>
            <w:tcW w:w="2693" w:type="dxa"/>
            <w:vAlign w:val="center"/>
          </w:tcPr>
          <w:p w14:paraId="3C839A8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378,867,913.78</w:t>
            </w:r>
          </w:p>
        </w:tc>
        <w:tc>
          <w:tcPr>
            <w:tcW w:w="2410" w:type="dxa"/>
            <w:vAlign w:val="center"/>
          </w:tcPr>
          <w:p w14:paraId="1FCC8178"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1.049599</w:t>
            </w:r>
          </w:p>
        </w:tc>
        <w:tc>
          <w:tcPr>
            <w:tcW w:w="2126" w:type="dxa"/>
            <w:vAlign w:val="center"/>
          </w:tcPr>
          <w:p w14:paraId="038F8A3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1.049599</w:t>
            </w:r>
          </w:p>
        </w:tc>
      </w:tr>
    </w:tbl>
    <w:p w14:paraId="328079BE" w14:textId="77777777"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14:paraId="05CB32E3" w14:textId="77777777" w:rsidR="00151CEF" w:rsidRDefault="00151CEF">
      <w:pPr>
        <w:spacing w:before="240" w:after="72" w:line="360" w:lineRule="auto"/>
        <w:rPr>
          <w:rFonts w:ascii="方正仿宋_GBK" w:eastAsia="方正仿宋_GBK"/>
          <w:sz w:val="24"/>
          <w:szCs w:val="24"/>
        </w:rPr>
      </w:pPr>
    </w:p>
    <w:p w14:paraId="5F6BDF2B"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§3  管理人报告</w:t>
      </w:r>
    </w:p>
    <w:p w14:paraId="485D5102"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14:paraId="3EF99224" w14:textId="77777777"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一季度，债市长端受股债跷跷板、央行操作、地缘政治、通胀预期等多因素驱动，呈现震荡走势，短端则在资金面持续宽松支撑下保持强势，收益率曲线陡峭化特征明显。10年期国债收益率从年初的1.85%下行4BP至1.81%，1年期国债收益率则下行14BP至1.20%。各等级信用债利</w:t>
      </w:r>
      <w:proofErr w:type="gramStart"/>
      <w:r>
        <w:rPr>
          <w:rFonts w:ascii="方正仿宋简体" w:eastAsia="方正仿宋简体" w:hint="eastAsia"/>
          <w:sz w:val="24"/>
          <w:szCs w:val="24"/>
        </w:rPr>
        <w:t>差普遍收</w:t>
      </w:r>
      <w:proofErr w:type="gramEnd"/>
      <w:r>
        <w:rPr>
          <w:rFonts w:ascii="方正仿宋简体" w:eastAsia="方正仿宋简体" w:hint="eastAsia"/>
          <w:sz w:val="24"/>
          <w:szCs w:val="24"/>
        </w:rPr>
        <w:t>窄，中低等级信用债利差收窄幅度更大。</w:t>
      </w:r>
      <w:r>
        <w:rPr>
          <w:rFonts w:ascii="方正仿宋简体" w:eastAsia="方正仿宋简体" w:hint="eastAsia"/>
          <w:sz w:val="24"/>
          <w:szCs w:val="24"/>
        </w:rPr>
        <w:br w:type="textWrapping" w:clear="all"/>
        <w:t>  权益方面，年初</w:t>
      </w:r>
      <w:proofErr w:type="gramStart"/>
      <w:r>
        <w:rPr>
          <w:rFonts w:ascii="方正仿宋简体" w:eastAsia="方正仿宋简体" w:hint="eastAsia"/>
          <w:sz w:val="24"/>
          <w:szCs w:val="24"/>
        </w:rPr>
        <w:t>在固收</w:t>
      </w:r>
      <w:proofErr w:type="gramEnd"/>
      <w:r>
        <w:rPr>
          <w:rFonts w:ascii="方正仿宋简体" w:eastAsia="方正仿宋简体" w:hint="eastAsia"/>
          <w:sz w:val="24"/>
          <w:szCs w:val="24"/>
        </w:rPr>
        <w:t>+等资金的持续推动下呈现快牛，在国家队出手降温后，2月转为震荡，之后受美伊冲突升级、原油</w:t>
      </w:r>
      <w:proofErr w:type="gramStart"/>
      <w:r>
        <w:rPr>
          <w:rFonts w:ascii="方正仿宋简体" w:eastAsia="方正仿宋简体" w:hint="eastAsia"/>
          <w:sz w:val="24"/>
          <w:szCs w:val="24"/>
        </w:rPr>
        <w:t>价格巨震等</w:t>
      </w:r>
      <w:proofErr w:type="gramEnd"/>
      <w:r>
        <w:rPr>
          <w:rFonts w:ascii="方正仿宋简体" w:eastAsia="方正仿宋简体" w:hint="eastAsia"/>
          <w:sz w:val="24"/>
          <w:szCs w:val="24"/>
        </w:rPr>
        <w:t>因素冲击而大幅调整，最终三大股指全部收阴，上证指数下跌1.94%，深成指下跌0.35%，创业板指下跌0.57%。市场结构性分化显著，能源与资源周期板块领涨，非银金融、商贸零售等行业跌幅居前</w:t>
      </w:r>
      <w:r>
        <w:rPr>
          <w:rFonts w:ascii="方正仿宋简体" w:eastAsia="方正仿宋简体" w:hint="eastAsia"/>
          <w:sz w:val="24"/>
          <w:szCs w:val="24"/>
        </w:rPr>
        <w:br w:type="textWrapping" w:clear="all"/>
        <w:t>  展望后市，短期内地缘冲突仍有较大不确定性，市场将处于高波动状态。但拉长时间</w:t>
      </w:r>
      <w:r>
        <w:rPr>
          <w:rFonts w:ascii="方正仿宋简体" w:eastAsia="方正仿宋简体" w:hint="eastAsia"/>
          <w:sz w:val="24"/>
          <w:szCs w:val="24"/>
        </w:rPr>
        <w:lastRenderedPageBreak/>
        <w:t>看，国内经济结构K型复苏，通胀回升，货币环境维持宽松的格局并未改变。债券在把握中</w:t>
      </w:r>
      <w:proofErr w:type="gramStart"/>
      <w:r>
        <w:rPr>
          <w:rFonts w:ascii="方正仿宋简体" w:eastAsia="方正仿宋简体" w:hint="eastAsia"/>
          <w:sz w:val="24"/>
          <w:szCs w:val="24"/>
        </w:rPr>
        <w:t>短久期</w:t>
      </w:r>
      <w:proofErr w:type="gramEnd"/>
      <w:r>
        <w:rPr>
          <w:rFonts w:ascii="方正仿宋简体" w:eastAsia="方正仿宋简体" w:hint="eastAsia"/>
          <w:sz w:val="24"/>
          <w:szCs w:val="24"/>
        </w:rPr>
        <w:t>品种票息机会的基础上，重点关注5年二级资本债等品种的交易性机会。权益方面维</w:t>
      </w:r>
    </w:p>
    <w:p w14:paraId="076855CF"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3.2 报告期内产品的流动性风险分析</w:t>
      </w:r>
    </w:p>
    <w:p w14:paraId="48B09ACC" w14:textId="77777777"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w:t>
      </w:r>
      <w:r>
        <w:rPr>
          <w:rFonts w:ascii="方正仿宋简体" w:eastAsia="方正仿宋简体"/>
          <w:sz w:val="24"/>
          <w:szCs w:val="24"/>
        </w:rPr>
        <w:t>本产品主要投向具有良好流动性的金融工具（包括但不限于国内依法发行的债券和证券投资基金等），并对标的进行分散化投资，防范流动性风险。</w:t>
      </w:r>
    </w:p>
    <w:p w14:paraId="3A2F7195"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3.3 报告期内产品的业绩表现</w:t>
      </w:r>
    </w:p>
    <w:p w14:paraId="49252311" w14:textId="77777777"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截至报告期末，本产品Z70015份额净值为1.050477元，Z70016份额净值为1.049599元。</w:t>
      </w:r>
    </w:p>
    <w:p w14:paraId="30BF1706" w14:textId="77777777" w:rsidR="00151CEF" w:rsidRDefault="00151CEF">
      <w:pPr>
        <w:spacing w:before="240" w:after="72" w:line="360" w:lineRule="auto"/>
        <w:rPr>
          <w:rFonts w:ascii="方正仿宋_GBK" w:eastAsia="方正仿宋_GBK" w:hAnsi="宋体"/>
          <w:sz w:val="24"/>
          <w:szCs w:val="24"/>
        </w:rPr>
      </w:pPr>
    </w:p>
    <w:p w14:paraId="2DE2FE79"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§4  投资组合报告</w:t>
      </w:r>
    </w:p>
    <w:p w14:paraId="784931C2"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4.1 报告期末产品资产组合情况</w:t>
      </w:r>
    </w:p>
    <w:tbl>
      <w:tblPr>
        <w:tblpPr w:leftFromText="180" w:rightFromText="180" w:vertAnchor="text" w:tblpXSpec="center" w:tblpY="1"/>
        <w:tblOverlap w:val="never"/>
        <w:tblW w:w="8895"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745"/>
        <w:gridCol w:w="1859"/>
        <w:gridCol w:w="3002"/>
        <w:gridCol w:w="3289"/>
      </w:tblGrid>
      <w:tr w:rsidR="00151CEF" w14:paraId="04ABC0F7"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2B06DC7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14:paraId="41444D72"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14:paraId="745BD931" w14:textId="77777777" w:rsidR="00151CEF" w:rsidRDefault="003E5C34" w:rsidP="008B1379">
            <w:pPr>
              <w:spacing w:beforeLines="20" w:before="48" w:afterLines="20" w:after="48"/>
              <w:jc w:val="center"/>
              <w:rPr>
                <w:rFonts w:ascii="方正仿宋简体" w:eastAsia="方正仿宋简体"/>
                <w:sz w:val="24"/>
                <w:szCs w:val="24"/>
              </w:rPr>
            </w:pPr>
            <w:proofErr w:type="gramStart"/>
            <w:r>
              <w:rPr>
                <w:rFonts w:ascii="方正仿宋简体" w:eastAsia="方正仿宋简体" w:hint="eastAsia"/>
                <w:sz w:val="24"/>
                <w:szCs w:val="24"/>
              </w:rPr>
              <w:t>穿透前占总</w:t>
            </w:r>
            <w:proofErr w:type="gramEnd"/>
            <w:r>
              <w:rPr>
                <w:rFonts w:ascii="方正仿宋简体" w:eastAsia="方正仿宋简体" w:hint="eastAsia"/>
                <w:sz w:val="24"/>
                <w:szCs w:val="24"/>
              </w:rPr>
              <w:t>资产比例</w:t>
            </w:r>
          </w:p>
        </w:tc>
        <w:tc>
          <w:tcPr>
            <w:tcW w:w="3289" w:type="dxa"/>
            <w:tcBorders>
              <w:top w:val="single" w:sz="4" w:space="0" w:color="auto"/>
              <w:left w:val="single" w:sz="4" w:space="0" w:color="auto"/>
              <w:bottom w:val="single" w:sz="4" w:space="0" w:color="auto"/>
              <w:right w:val="single" w:sz="4" w:space="0" w:color="auto"/>
            </w:tcBorders>
            <w:vAlign w:val="center"/>
          </w:tcPr>
          <w:p w14:paraId="02A81149"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14:paraId="1F7E039E"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4C1673F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14:paraId="146C7A7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14:paraId="20A3997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96.55%</w:t>
            </w:r>
          </w:p>
        </w:tc>
        <w:tc>
          <w:tcPr>
            <w:tcW w:w="3289" w:type="dxa"/>
            <w:tcBorders>
              <w:top w:val="single" w:sz="4" w:space="0" w:color="auto"/>
              <w:left w:val="single" w:sz="4" w:space="0" w:color="auto"/>
              <w:bottom w:val="single" w:sz="4" w:space="0" w:color="auto"/>
              <w:right w:val="single" w:sz="4" w:space="0" w:color="auto"/>
            </w:tcBorders>
            <w:vAlign w:val="center"/>
          </w:tcPr>
          <w:p w14:paraId="3F439A2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89.20%</w:t>
            </w:r>
          </w:p>
        </w:tc>
      </w:tr>
      <w:tr w:rsidR="00151CEF" w14:paraId="222FBF7A"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405D8D61"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14:paraId="600598E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14:paraId="51C8C25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3.45%</w:t>
            </w:r>
          </w:p>
        </w:tc>
        <w:tc>
          <w:tcPr>
            <w:tcW w:w="3289" w:type="dxa"/>
            <w:tcBorders>
              <w:top w:val="single" w:sz="4" w:space="0" w:color="auto"/>
              <w:left w:val="single" w:sz="4" w:space="0" w:color="auto"/>
              <w:bottom w:val="single" w:sz="4" w:space="0" w:color="auto"/>
              <w:right w:val="single" w:sz="4" w:space="0" w:color="auto"/>
            </w:tcBorders>
            <w:vAlign w:val="center"/>
          </w:tcPr>
          <w:p w14:paraId="1DD57D2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10.79%</w:t>
            </w:r>
          </w:p>
        </w:tc>
      </w:tr>
      <w:tr w:rsidR="00151CEF" w14:paraId="3CF919A5"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1CD17188"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14:paraId="29FD297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14:paraId="702BFFB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14:paraId="62FDC846"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r>
      <w:tr w:rsidR="00151CEF" w14:paraId="3DD8F2F3"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3B599E37"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14:paraId="7817848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14:paraId="39456753"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14:paraId="36999AEB"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0.01%</w:t>
            </w:r>
          </w:p>
        </w:tc>
      </w:tr>
      <w:tr w:rsidR="00151CEF" w14:paraId="03A4DF74"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46ED3C5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14:paraId="16312E0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14:paraId="77BE7FA7"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14:paraId="623418B6"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100.00%</w:t>
            </w:r>
          </w:p>
        </w:tc>
      </w:tr>
    </w:tbl>
    <w:p w14:paraId="671D16BE" w14:textId="77777777" w:rsidR="00151CEF" w:rsidRDefault="00151CEF">
      <w:pPr>
        <w:spacing w:before="240" w:after="72" w:line="360" w:lineRule="auto"/>
        <w:rPr>
          <w:rFonts w:ascii="方正仿宋_GBK" w:eastAsia="方正仿宋_GBK"/>
          <w:sz w:val="24"/>
          <w:szCs w:val="24"/>
        </w:rPr>
      </w:pPr>
    </w:p>
    <w:p w14:paraId="61FE5A4D"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4.2 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750"/>
        <w:gridCol w:w="1581"/>
        <w:gridCol w:w="2712"/>
        <w:gridCol w:w="2052"/>
        <w:gridCol w:w="1807"/>
      </w:tblGrid>
      <w:tr w:rsidR="00151CEF" w14:paraId="03F6CB89" w14:textId="77777777">
        <w:trPr>
          <w:trHeight w:val="1233"/>
          <w:jc w:val="center"/>
        </w:trPr>
        <w:tc>
          <w:tcPr>
            <w:tcW w:w="750" w:type="dxa"/>
            <w:vAlign w:val="center"/>
          </w:tcPr>
          <w:p w14:paraId="75DB2FA9"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lastRenderedPageBreak/>
              <w:t>序号</w:t>
            </w:r>
          </w:p>
        </w:tc>
        <w:tc>
          <w:tcPr>
            <w:tcW w:w="1581" w:type="dxa"/>
            <w:vAlign w:val="center"/>
          </w:tcPr>
          <w:p w14:paraId="74C0519D"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14:paraId="1107F18B"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14:paraId="78CA1E8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14:paraId="7D035592"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占产品资产净值比例（％）</w:t>
            </w:r>
          </w:p>
        </w:tc>
      </w:tr>
      <w:tr w:rsidR="005A53ED" w14:paraId="4567B65C" w14:textId="77777777">
        <w:trPr>
          <w:trHeight w:val="583"/>
          <w:jc w:val="center"/>
        </w:trPr>
        <w:tc>
          <w:tcPr>
            <w:tcW w:w="750" w:type="dxa"/>
            <w:shd w:val="clear" w:color="auto" w:fill="auto"/>
            <w:vAlign w:val="center"/>
          </w:tcPr>
          <w:p w14:paraId="2DEB063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581" w:type="dxa"/>
            <w:shd w:val="clear" w:color="auto" w:fill="auto"/>
            <w:vAlign w:val="center"/>
          </w:tcPr>
          <w:p w14:paraId="2C5AFFDE"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ZJQTT202305080001</w:t>
            </w:r>
          </w:p>
        </w:tc>
        <w:tc>
          <w:tcPr>
            <w:tcW w:w="2712" w:type="dxa"/>
            <w:shd w:val="clear" w:color="000000" w:fill="FFFFFF"/>
            <w:vAlign w:val="center"/>
          </w:tcPr>
          <w:p w14:paraId="3A16B9D8"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外贸信托</w:t>
            </w:r>
            <w:r>
              <w:rPr>
                <w:rFonts w:ascii="方正仿宋简体" w:eastAsia="方正仿宋简体" w:hAnsi="方正仿宋简体" w:cs="方正仿宋简体"/>
                <w:sz w:val="24"/>
              </w:rPr>
              <w:t>-</w:t>
            </w:r>
            <w:proofErr w:type="gramStart"/>
            <w:r>
              <w:rPr>
                <w:rFonts w:ascii="方正仿宋简体" w:eastAsia="方正仿宋简体" w:hAnsi="方正仿宋简体" w:cs="方正仿宋简体"/>
                <w:sz w:val="24"/>
              </w:rPr>
              <w:t>鑫华优享</w:t>
            </w:r>
            <w:proofErr w:type="gramEnd"/>
            <w:r>
              <w:rPr>
                <w:rFonts w:ascii="方正仿宋简体" w:eastAsia="方正仿宋简体" w:hAnsi="方正仿宋简体" w:cs="方正仿宋简体"/>
                <w:sz w:val="24"/>
              </w:rPr>
              <w:t>3</w:t>
            </w:r>
            <w:r>
              <w:rPr>
                <w:rFonts w:ascii="方正仿宋简体" w:eastAsia="方正仿宋简体" w:hAnsi="方正仿宋简体" w:cs="方正仿宋简体"/>
                <w:sz w:val="24"/>
              </w:rPr>
              <w:t>号证券投资集合资金信托计划</w:t>
            </w:r>
          </w:p>
        </w:tc>
        <w:tc>
          <w:tcPr>
            <w:tcW w:w="2052" w:type="dxa"/>
            <w:shd w:val="clear" w:color="000000" w:fill="FFFFFF"/>
            <w:vAlign w:val="center"/>
          </w:tcPr>
          <w:p w14:paraId="14E47747"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366,904,916.15</w:t>
            </w:r>
          </w:p>
        </w:tc>
        <w:tc>
          <w:tcPr>
            <w:tcW w:w="1807" w:type="dxa"/>
            <w:shd w:val="clear" w:color="000000" w:fill="FFFFFF"/>
            <w:vAlign w:val="center"/>
          </w:tcPr>
          <w:p w14:paraId="1BC0902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7.05</w:t>
            </w:r>
          </w:p>
        </w:tc>
      </w:tr>
      <w:tr w:rsidR="005A53ED" w14:paraId="07AE4E0A" w14:textId="77777777">
        <w:trPr>
          <w:trHeight w:val="583"/>
          <w:jc w:val="center"/>
        </w:trPr>
        <w:tc>
          <w:tcPr>
            <w:tcW w:w="750" w:type="dxa"/>
            <w:shd w:val="clear" w:color="auto" w:fill="auto"/>
            <w:vAlign w:val="center"/>
          </w:tcPr>
          <w:p w14:paraId="36CBC11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1581" w:type="dxa"/>
            <w:shd w:val="clear" w:color="auto" w:fill="auto"/>
            <w:vAlign w:val="center"/>
          </w:tcPr>
          <w:p w14:paraId="41BC3945"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ZZGJT202007060001</w:t>
            </w:r>
          </w:p>
        </w:tc>
        <w:tc>
          <w:tcPr>
            <w:tcW w:w="2712" w:type="dxa"/>
            <w:shd w:val="clear" w:color="000000" w:fill="FFFFFF"/>
            <w:vAlign w:val="center"/>
          </w:tcPr>
          <w:p w14:paraId="6CEDEDB2" w14:textId="77777777" w:rsidR="005A53ED" w:rsidRDefault="005D0101">
            <w:pPr>
              <w:spacing w:beforeLines="20" w:before="48" w:afterLines="20" w:after="48"/>
              <w:jc w:val="center"/>
              <w:textAlignment w:val="center"/>
              <w:rPr>
                <w:rFonts w:ascii="方正仿宋简体" w:eastAsia="方正仿宋简体"/>
                <w:sz w:val="24"/>
                <w:szCs w:val="24"/>
              </w:rPr>
            </w:pPr>
            <w:proofErr w:type="gramStart"/>
            <w:r>
              <w:rPr>
                <w:rFonts w:ascii="方正仿宋简体" w:eastAsia="方正仿宋简体" w:hAnsi="方正仿宋简体" w:cs="方正仿宋简体"/>
                <w:sz w:val="24"/>
              </w:rPr>
              <w:t>鑫沅</w:t>
            </w:r>
            <w:proofErr w:type="gramEnd"/>
            <w:r>
              <w:rPr>
                <w:rFonts w:ascii="方正仿宋简体" w:eastAsia="方正仿宋简体" w:hAnsi="方正仿宋简体" w:cs="方正仿宋简体"/>
                <w:sz w:val="24"/>
              </w:rPr>
              <w:t>资产金梅花</w:t>
            </w:r>
            <w:r>
              <w:rPr>
                <w:rFonts w:ascii="方正仿宋简体" w:eastAsia="方正仿宋简体" w:hAnsi="方正仿宋简体" w:cs="方正仿宋简体"/>
                <w:sz w:val="24"/>
              </w:rPr>
              <w:t>141</w:t>
            </w:r>
            <w:r>
              <w:rPr>
                <w:rFonts w:ascii="方正仿宋简体" w:eastAsia="方正仿宋简体" w:hAnsi="方正仿宋简体" w:cs="方正仿宋简体"/>
                <w:sz w:val="24"/>
              </w:rPr>
              <w:t>号集合资产管理计划</w:t>
            </w:r>
          </w:p>
        </w:tc>
        <w:tc>
          <w:tcPr>
            <w:tcW w:w="2052" w:type="dxa"/>
            <w:shd w:val="clear" w:color="000000" w:fill="FFFFFF"/>
            <w:vAlign w:val="center"/>
          </w:tcPr>
          <w:p w14:paraId="7EC4B980"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313,496,055.79</w:t>
            </w:r>
          </w:p>
        </w:tc>
        <w:tc>
          <w:tcPr>
            <w:tcW w:w="1807" w:type="dxa"/>
            <w:shd w:val="clear" w:color="000000" w:fill="FFFFFF"/>
            <w:vAlign w:val="center"/>
          </w:tcPr>
          <w:p w14:paraId="5C0D5CCF"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6.02</w:t>
            </w:r>
          </w:p>
        </w:tc>
      </w:tr>
      <w:tr w:rsidR="005A53ED" w14:paraId="38436246" w14:textId="77777777">
        <w:trPr>
          <w:trHeight w:val="583"/>
          <w:jc w:val="center"/>
        </w:trPr>
        <w:tc>
          <w:tcPr>
            <w:tcW w:w="750" w:type="dxa"/>
            <w:shd w:val="clear" w:color="auto" w:fill="auto"/>
            <w:vAlign w:val="center"/>
          </w:tcPr>
          <w:p w14:paraId="44F48B22"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w:t>
            </w:r>
          </w:p>
        </w:tc>
        <w:tc>
          <w:tcPr>
            <w:tcW w:w="1581" w:type="dxa"/>
            <w:shd w:val="clear" w:color="auto" w:fill="auto"/>
            <w:vAlign w:val="center"/>
          </w:tcPr>
          <w:p w14:paraId="748A655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ZJQTT202508110003</w:t>
            </w:r>
          </w:p>
        </w:tc>
        <w:tc>
          <w:tcPr>
            <w:tcW w:w="2712" w:type="dxa"/>
            <w:shd w:val="clear" w:color="000000" w:fill="FFFFFF"/>
            <w:vAlign w:val="center"/>
          </w:tcPr>
          <w:p w14:paraId="7C5F0AE7"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华泰资产</w:t>
            </w:r>
            <w:proofErr w:type="gramStart"/>
            <w:r>
              <w:rPr>
                <w:rFonts w:ascii="方正仿宋简体" w:eastAsia="方正仿宋简体" w:hAnsi="方正仿宋简体" w:cs="方正仿宋简体"/>
                <w:sz w:val="24"/>
              </w:rPr>
              <w:t>宁泰稳盈货币</w:t>
            </w:r>
            <w:proofErr w:type="gramEnd"/>
            <w:r>
              <w:rPr>
                <w:rFonts w:ascii="方正仿宋简体" w:eastAsia="方正仿宋简体" w:hAnsi="方正仿宋简体" w:cs="方正仿宋简体"/>
                <w:sz w:val="24"/>
              </w:rPr>
              <w:t>资产管理产品</w:t>
            </w:r>
          </w:p>
        </w:tc>
        <w:tc>
          <w:tcPr>
            <w:tcW w:w="2052" w:type="dxa"/>
            <w:shd w:val="clear" w:color="000000" w:fill="FFFFFF"/>
            <w:vAlign w:val="center"/>
          </w:tcPr>
          <w:p w14:paraId="65323E9F"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200,569,244.83</w:t>
            </w:r>
          </w:p>
        </w:tc>
        <w:tc>
          <w:tcPr>
            <w:tcW w:w="1807" w:type="dxa"/>
            <w:shd w:val="clear" w:color="000000" w:fill="FFFFFF"/>
            <w:vAlign w:val="center"/>
          </w:tcPr>
          <w:p w14:paraId="53993998"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3.85</w:t>
            </w:r>
          </w:p>
        </w:tc>
      </w:tr>
      <w:tr w:rsidR="005A53ED" w14:paraId="569A62C7" w14:textId="77777777">
        <w:trPr>
          <w:trHeight w:val="583"/>
          <w:jc w:val="center"/>
        </w:trPr>
        <w:tc>
          <w:tcPr>
            <w:tcW w:w="750" w:type="dxa"/>
            <w:shd w:val="clear" w:color="auto" w:fill="auto"/>
            <w:vAlign w:val="center"/>
          </w:tcPr>
          <w:p w14:paraId="0C1DDA0B"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w:t>
            </w:r>
          </w:p>
        </w:tc>
        <w:tc>
          <w:tcPr>
            <w:tcW w:w="1581" w:type="dxa"/>
            <w:shd w:val="clear" w:color="auto" w:fill="auto"/>
            <w:vAlign w:val="center"/>
          </w:tcPr>
          <w:p w14:paraId="70429DD4"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ZJQTT202406170021</w:t>
            </w:r>
          </w:p>
        </w:tc>
        <w:tc>
          <w:tcPr>
            <w:tcW w:w="2712" w:type="dxa"/>
            <w:shd w:val="clear" w:color="000000" w:fill="FFFFFF"/>
            <w:vAlign w:val="center"/>
          </w:tcPr>
          <w:p w14:paraId="46ADB2F2"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长江养老金色短</w:t>
            </w:r>
            <w:proofErr w:type="gramStart"/>
            <w:r>
              <w:rPr>
                <w:rFonts w:ascii="方正仿宋简体" w:eastAsia="方正仿宋简体" w:hAnsi="方正仿宋简体" w:cs="方正仿宋简体"/>
                <w:sz w:val="24"/>
              </w:rPr>
              <w:t>债存款固收</w:t>
            </w:r>
            <w:proofErr w:type="gramEnd"/>
            <w:r>
              <w:rPr>
                <w:rFonts w:ascii="方正仿宋简体" w:eastAsia="方正仿宋简体" w:hAnsi="方正仿宋简体" w:cs="方正仿宋简体"/>
                <w:sz w:val="24"/>
              </w:rPr>
              <w:t>型集合资产管理产品</w:t>
            </w:r>
          </w:p>
        </w:tc>
        <w:tc>
          <w:tcPr>
            <w:tcW w:w="2052" w:type="dxa"/>
            <w:shd w:val="clear" w:color="000000" w:fill="FFFFFF"/>
            <w:vAlign w:val="center"/>
          </w:tcPr>
          <w:p w14:paraId="10B6BB2B"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200,056,859.04</w:t>
            </w:r>
          </w:p>
        </w:tc>
        <w:tc>
          <w:tcPr>
            <w:tcW w:w="1807" w:type="dxa"/>
            <w:shd w:val="clear" w:color="000000" w:fill="FFFFFF"/>
            <w:vAlign w:val="center"/>
          </w:tcPr>
          <w:p w14:paraId="4D371E8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3.84</w:t>
            </w:r>
          </w:p>
        </w:tc>
      </w:tr>
      <w:tr w:rsidR="005A53ED" w14:paraId="00F7BEFA" w14:textId="77777777">
        <w:trPr>
          <w:trHeight w:val="583"/>
          <w:jc w:val="center"/>
        </w:trPr>
        <w:tc>
          <w:tcPr>
            <w:tcW w:w="750" w:type="dxa"/>
            <w:shd w:val="clear" w:color="auto" w:fill="auto"/>
            <w:vAlign w:val="center"/>
          </w:tcPr>
          <w:p w14:paraId="7BCC484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w:t>
            </w:r>
          </w:p>
        </w:tc>
        <w:tc>
          <w:tcPr>
            <w:tcW w:w="1581" w:type="dxa"/>
            <w:shd w:val="clear" w:color="auto" w:fill="auto"/>
            <w:vAlign w:val="center"/>
          </w:tcPr>
          <w:p w14:paraId="66FEB445"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ZJQTT202503170027</w:t>
            </w:r>
          </w:p>
        </w:tc>
        <w:tc>
          <w:tcPr>
            <w:tcW w:w="2712" w:type="dxa"/>
            <w:shd w:val="clear" w:color="000000" w:fill="FFFFFF"/>
            <w:vAlign w:val="center"/>
          </w:tcPr>
          <w:p w14:paraId="5456B67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中诚信托</w:t>
            </w:r>
            <w:r>
              <w:rPr>
                <w:rFonts w:ascii="方正仿宋简体" w:eastAsia="方正仿宋简体" w:hAnsi="方正仿宋简体" w:cs="方正仿宋简体"/>
                <w:sz w:val="24"/>
              </w:rPr>
              <w:t>-</w:t>
            </w:r>
            <w:r>
              <w:rPr>
                <w:rFonts w:ascii="方正仿宋简体" w:eastAsia="方正仿宋简体" w:hAnsi="方正仿宋简体" w:cs="方正仿宋简体"/>
                <w:sz w:val="24"/>
              </w:rPr>
              <w:t>日日升</w:t>
            </w:r>
            <w:r>
              <w:rPr>
                <w:rFonts w:ascii="方正仿宋简体" w:eastAsia="方正仿宋简体" w:hAnsi="方正仿宋简体" w:cs="方正仿宋简体"/>
                <w:sz w:val="24"/>
              </w:rPr>
              <w:t>6</w:t>
            </w:r>
            <w:r>
              <w:rPr>
                <w:rFonts w:ascii="方正仿宋简体" w:eastAsia="方正仿宋简体" w:hAnsi="方正仿宋简体" w:cs="方正仿宋简体"/>
                <w:sz w:val="24"/>
              </w:rPr>
              <w:t>号集合资金信托计划</w:t>
            </w:r>
          </w:p>
        </w:tc>
        <w:tc>
          <w:tcPr>
            <w:tcW w:w="2052" w:type="dxa"/>
            <w:shd w:val="clear" w:color="000000" w:fill="FFFFFF"/>
            <w:vAlign w:val="center"/>
          </w:tcPr>
          <w:p w14:paraId="1DA32004"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183,459,613.20</w:t>
            </w:r>
          </w:p>
        </w:tc>
        <w:tc>
          <w:tcPr>
            <w:tcW w:w="1807" w:type="dxa"/>
            <w:shd w:val="clear" w:color="000000" w:fill="FFFFFF"/>
            <w:vAlign w:val="center"/>
          </w:tcPr>
          <w:p w14:paraId="16100E0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3.53</w:t>
            </w:r>
          </w:p>
        </w:tc>
      </w:tr>
      <w:tr w:rsidR="005A53ED" w14:paraId="3A088DF7" w14:textId="77777777">
        <w:trPr>
          <w:trHeight w:val="583"/>
          <w:jc w:val="center"/>
        </w:trPr>
        <w:tc>
          <w:tcPr>
            <w:tcW w:w="750" w:type="dxa"/>
            <w:shd w:val="clear" w:color="auto" w:fill="auto"/>
            <w:vAlign w:val="center"/>
          </w:tcPr>
          <w:p w14:paraId="3B661D6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w:t>
            </w:r>
          </w:p>
        </w:tc>
        <w:tc>
          <w:tcPr>
            <w:tcW w:w="1581" w:type="dxa"/>
            <w:shd w:val="clear" w:color="auto" w:fill="auto"/>
            <w:vAlign w:val="center"/>
          </w:tcPr>
          <w:p w14:paraId="578345DF"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ZJQTT202308250001</w:t>
            </w:r>
          </w:p>
        </w:tc>
        <w:tc>
          <w:tcPr>
            <w:tcW w:w="2712" w:type="dxa"/>
            <w:shd w:val="clear" w:color="000000" w:fill="FFFFFF"/>
            <w:vAlign w:val="center"/>
          </w:tcPr>
          <w:p w14:paraId="621C6390"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中粮信托</w:t>
            </w:r>
            <w:r>
              <w:rPr>
                <w:rFonts w:ascii="方正仿宋简体" w:eastAsia="方正仿宋简体" w:hAnsi="方正仿宋简体" w:cs="方正仿宋简体"/>
                <w:sz w:val="24"/>
              </w:rPr>
              <w:t>-</w:t>
            </w:r>
            <w:r>
              <w:rPr>
                <w:rFonts w:ascii="方正仿宋简体" w:eastAsia="方正仿宋简体" w:hAnsi="方正仿宋简体" w:cs="方正仿宋简体"/>
                <w:sz w:val="24"/>
              </w:rPr>
              <w:t>鼎兴</w:t>
            </w:r>
            <w:r>
              <w:rPr>
                <w:rFonts w:ascii="方正仿宋简体" w:eastAsia="方正仿宋简体" w:hAnsi="方正仿宋简体" w:cs="方正仿宋简体"/>
                <w:sz w:val="24"/>
              </w:rPr>
              <w:t>5</w:t>
            </w:r>
            <w:r>
              <w:rPr>
                <w:rFonts w:ascii="方正仿宋简体" w:eastAsia="方正仿宋简体" w:hAnsi="方正仿宋简体" w:cs="方正仿宋简体"/>
                <w:sz w:val="24"/>
              </w:rPr>
              <w:t>号集合资金信托计划</w:t>
            </w:r>
          </w:p>
        </w:tc>
        <w:tc>
          <w:tcPr>
            <w:tcW w:w="2052" w:type="dxa"/>
            <w:shd w:val="clear" w:color="000000" w:fill="FFFFFF"/>
            <w:vAlign w:val="center"/>
          </w:tcPr>
          <w:p w14:paraId="7624663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111,806,575.44</w:t>
            </w:r>
          </w:p>
        </w:tc>
        <w:tc>
          <w:tcPr>
            <w:tcW w:w="1807" w:type="dxa"/>
            <w:shd w:val="clear" w:color="000000" w:fill="FFFFFF"/>
            <w:vAlign w:val="center"/>
          </w:tcPr>
          <w:p w14:paraId="6D719907"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2.15</w:t>
            </w:r>
          </w:p>
        </w:tc>
      </w:tr>
      <w:tr w:rsidR="005A53ED" w14:paraId="66303F53" w14:textId="77777777">
        <w:trPr>
          <w:trHeight w:val="583"/>
          <w:jc w:val="center"/>
        </w:trPr>
        <w:tc>
          <w:tcPr>
            <w:tcW w:w="750" w:type="dxa"/>
            <w:shd w:val="clear" w:color="auto" w:fill="auto"/>
            <w:vAlign w:val="center"/>
          </w:tcPr>
          <w:p w14:paraId="753B1046"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w:t>
            </w:r>
          </w:p>
        </w:tc>
        <w:tc>
          <w:tcPr>
            <w:tcW w:w="1581" w:type="dxa"/>
            <w:shd w:val="clear" w:color="auto" w:fill="auto"/>
            <w:vAlign w:val="center"/>
          </w:tcPr>
          <w:p w14:paraId="75EC3B92"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09250412</w:t>
            </w:r>
          </w:p>
        </w:tc>
        <w:tc>
          <w:tcPr>
            <w:tcW w:w="2712" w:type="dxa"/>
            <w:shd w:val="clear" w:color="000000" w:fill="FFFFFF"/>
            <w:vAlign w:val="center"/>
          </w:tcPr>
          <w:p w14:paraId="02B650D8"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25</w:t>
            </w:r>
            <w:proofErr w:type="gramStart"/>
            <w:r>
              <w:rPr>
                <w:rFonts w:ascii="方正仿宋简体" w:eastAsia="方正仿宋简体" w:hAnsi="方正仿宋简体" w:cs="方正仿宋简体"/>
                <w:sz w:val="24"/>
              </w:rPr>
              <w:t>农发清发</w:t>
            </w:r>
            <w:proofErr w:type="gramEnd"/>
            <w:r>
              <w:rPr>
                <w:rFonts w:ascii="方正仿宋简体" w:eastAsia="方正仿宋简体" w:hAnsi="方正仿宋简体" w:cs="方正仿宋简体"/>
                <w:sz w:val="24"/>
              </w:rPr>
              <w:t>12</w:t>
            </w:r>
          </w:p>
        </w:tc>
        <w:tc>
          <w:tcPr>
            <w:tcW w:w="2052" w:type="dxa"/>
            <w:shd w:val="clear" w:color="000000" w:fill="FFFFFF"/>
            <w:vAlign w:val="center"/>
          </w:tcPr>
          <w:p w14:paraId="27482B3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100,164,100.00</w:t>
            </w:r>
          </w:p>
        </w:tc>
        <w:tc>
          <w:tcPr>
            <w:tcW w:w="1807" w:type="dxa"/>
            <w:shd w:val="clear" w:color="000000" w:fill="FFFFFF"/>
            <w:vAlign w:val="center"/>
          </w:tcPr>
          <w:p w14:paraId="16AF828E"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1.92</w:t>
            </w:r>
          </w:p>
        </w:tc>
      </w:tr>
      <w:tr w:rsidR="005A53ED" w14:paraId="01100BF9" w14:textId="77777777">
        <w:trPr>
          <w:trHeight w:val="583"/>
          <w:jc w:val="center"/>
        </w:trPr>
        <w:tc>
          <w:tcPr>
            <w:tcW w:w="750" w:type="dxa"/>
            <w:shd w:val="clear" w:color="auto" w:fill="auto"/>
            <w:vAlign w:val="center"/>
          </w:tcPr>
          <w:p w14:paraId="63FA46C4"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w:t>
            </w:r>
          </w:p>
        </w:tc>
        <w:tc>
          <w:tcPr>
            <w:tcW w:w="1581" w:type="dxa"/>
            <w:shd w:val="clear" w:color="auto" w:fill="auto"/>
            <w:vAlign w:val="center"/>
          </w:tcPr>
          <w:p w14:paraId="1379B176"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09240422</w:t>
            </w:r>
          </w:p>
        </w:tc>
        <w:tc>
          <w:tcPr>
            <w:tcW w:w="2712" w:type="dxa"/>
            <w:shd w:val="clear" w:color="000000" w:fill="FFFFFF"/>
            <w:vAlign w:val="center"/>
          </w:tcPr>
          <w:p w14:paraId="3E99B0B1"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24</w:t>
            </w:r>
            <w:proofErr w:type="gramStart"/>
            <w:r>
              <w:rPr>
                <w:rFonts w:ascii="方正仿宋简体" w:eastAsia="方正仿宋简体" w:hAnsi="方正仿宋简体" w:cs="方正仿宋简体"/>
                <w:sz w:val="24"/>
              </w:rPr>
              <w:t>农发清发</w:t>
            </w:r>
            <w:proofErr w:type="gramEnd"/>
            <w:r>
              <w:rPr>
                <w:rFonts w:ascii="方正仿宋简体" w:eastAsia="方正仿宋简体" w:hAnsi="方正仿宋简体" w:cs="方正仿宋简体"/>
                <w:sz w:val="24"/>
              </w:rPr>
              <w:t>22</w:t>
            </w:r>
          </w:p>
        </w:tc>
        <w:tc>
          <w:tcPr>
            <w:tcW w:w="2052" w:type="dxa"/>
            <w:shd w:val="clear" w:color="000000" w:fill="FFFFFF"/>
            <w:vAlign w:val="center"/>
          </w:tcPr>
          <w:p w14:paraId="291C5250"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100,124,200.00</w:t>
            </w:r>
          </w:p>
        </w:tc>
        <w:tc>
          <w:tcPr>
            <w:tcW w:w="1807" w:type="dxa"/>
            <w:shd w:val="clear" w:color="000000" w:fill="FFFFFF"/>
            <w:vAlign w:val="center"/>
          </w:tcPr>
          <w:p w14:paraId="3E8EA300"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1.92</w:t>
            </w:r>
          </w:p>
        </w:tc>
      </w:tr>
      <w:tr w:rsidR="005A53ED" w14:paraId="201D8261" w14:textId="77777777">
        <w:trPr>
          <w:trHeight w:val="583"/>
          <w:jc w:val="center"/>
        </w:trPr>
        <w:tc>
          <w:tcPr>
            <w:tcW w:w="750" w:type="dxa"/>
            <w:shd w:val="clear" w:color="auto" w:fill="auto"/>
            <w:vAlign w:val="center"/>
          </w:tcPr>
          <w:p w14:paraId="5FA8022F"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9</w:t>
            </w:r>
          </w:p>
        </w:tc>
        <w:tc>
          <w:tcPr>
            <w:tcW w:w="1581" w:type="dxa"/>
            <w:shd w:val="clear" w:color="auto" w:fill="auto"/>
            <w:vAlign w:val="center"/>
          </w:tcPr>
          <w:p w14:paraId="4B689DC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09250402</w:t>
            </w:r>
          </w:p>
        </w:tc>
        <w:tc>
          <w:tcPr>
            <w:tcW w:w="2712" w:type="dxa"/>
            <w:shd w:val="clear" w:color="000000" w:fill="FFFFFF"/>
            <w:vAlign w:val="center"/>
          </w:tcPr>
          <w:p w14:paraId="077A3616"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25</w:t>
            </w:r>
            <w:proofErr w:type="gramStart"/>
            <w:r>
              <w:rPr>
                <w:rFonts w:ascii="方正仿宋简体" w:eastAsia="方正仿宋简体" w:hAnsi="方正仿宋简体" w:cs="方正仿宋简体"/>
                <w:sz w:val="24"/>
              </w:rPr>
              <w:t>农发清发</w:t>
            </w:r>
            <w:proofErr w:type="gramEnd"/>
            <w:r>
              <w:rPr>
                <w:rFonts w:ascii="方正仿宋简体" w:eastAsia="方正仿宋简体" w:hAnsi="方正仿宋简体" w:cs="方正仿宋简体"/>
                <w:sz w:val="24"/>
              </w:rPr>
              <w:t>02</w:t>
            </w:r>
          </w:p>
        </w:tc>
        <w:tc>
          <w:tcPr>
            <w:tcW w:w="2052" w:type="dxa"/>
            <w:shd w:val="clear" w:color="000000" w:fill="FFFFFF"/>
            <w:vAlign w:val="center"/>
          </w:tcPr>
          <w:p w14:paraId="7679AC7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100,027,300.00</w:t>
            </w:r>
          </w:p>
        </w:tc>
        <w:tc>
          <w:tcPr>
            <w:tcW w:w="1807" w:type="dxa"/>
            <w:shd w:val="clear" w:color="000000" w:fill="FFFFFF"/>
            <w:vAlign w:val="center"/>
          </w:tcPr>
          <w:p w14:paraId="34D9BC67"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1.92</w:t>
            </w:r>
          </w:p>
        </w:tc>
      </w:tr>
      <w:tr w:rsidR="00117968" w14:paraId="29EC4954" w14:textId="77777777">
        <w:trPr>
          <w:trHeight w:val="583"/>
          <w:jc w:val="center"/>
        </w:trPr>
        <w:tc>
          <w:tcPr>
            <w:tcW w:w="750" w:type="dxa"/>
            <w:shd w:val="clear" w:color="auto" w:fill="auto"/>
            <w:vAlign w:val="center"/>
          </w:tcPr>
          <w:p w14:paraId="160EC404" w14:textId="768EDF6E" w:rsidR="00117968" w:rsidRDefault="00117968">
            <w:pPr>
              <w:spacing w:beforeLines="20" w:before="48" w:afterLines="20" w:after="48"/>
              <w:jc w:val="center"/>
              <w:textAlignment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10</w:t>
            </w:r>
          </w:p>
        </w:tc>
        <w:tc>
          <w:tcPr>
            <w:tcW w:w="1581" w:type="dxa"/>
            <w:shd w:val="clear" w:color="auto" w:fill="auto"/>
            <w:vAlign w:val="center"/>
          </w:tcPr>
          <w:p w14:paraId="4F827910" w14:textId="31FAF91B" w:rsidR="00117968" w:rsidRDefault="00117968">
            <w:pPr>
              <w:spacing w:beforeLines="20" w:before="48" w:afterLines="20" w:after="48"/>
              <w:jc w:val="center"/>
              <w:textAlignment w:val="center"/>
              <w:rPr>
                <w:rFonts w:ascii="方正仿宋简体" w:eastAsia="方正仿宋简体" w:hAnsi="方正仿宋简体" w:cs="方正仿宋简体"/>
                <w:sz w:val="24"/>
              </w:rPr>
            </w:pPr>
            <w:r w:rsidRPr="00117968">
              <w:rPr>
                <w:rFonts w:ascii="方正仿宋简体" w:eastAsia="方正仿宋简体" w:hAnsi="方正仿宋简体" w:cs="方正仿宋简体"/>
                <w:sz w:val="24"/>
              </w:rPr>
              <w:t>R007</w:t>
            </w:r>
          </w:p>
        </w:tc>
        <w:tc>
          <w:tcPr>
            <w:tcW w:w="2712" w:type="dxa"/>
            <w:shd w:val="clear" w:color="000000" w:fill="FFFFFF"/>
            <w:vAlign w:val="center"/>
          </w:tcPr>
          <w:p w14:paraId="5B6B3536" w14:textId="3AAD6A1E" w:rsidR="00117968" w:rsidRDefault="00117968">
            <w:pPr>
              <w:spacing w:beforeLines="20" w:before="48" w:afterLines="20" w:after="48"/>
              <w:jc w:val="center"/>
              <w:textAlignment w:val="center"/>
              <w:rPr>
                <w:rFonts w:ascii="方正仿宋简体" w:eastAsia="方正仿宋简体" w:hAnsi="方正仿宋简体" w:cs="方正仿宋简体"/>
                <w:sz w:val="24"/>
              </w:rPr>
            </w:pPr>
            <w:r w:rsidRPr="00117968">
              <w:rPr>
                <w:rFonts w:ascii="方正仿宋简体" w:eastAsia="方正仿宋简体" w:hAnsi="方正仿宋简体" w:cs="方正仿宋简体" w:hint="eastAsia"/>
                <w:sz w:val="24"/>
              </w:rPr>
              <w:t>银行</w:t>
            </w:r>
            <w:proofErr w:type="gramStart"/>
            <w:r w:rsidRPr="00117968">
              <w:rPr>
                <w:rFonts w:ascii="方正仿宋简体" w:eastAsia="方正仿宋简体" w:hAnsi="方正仿宋简体" w:cs="方正仿宋简体" w:hint="eastAsia"/>
                <w:sz w:val="24"/>
              </w:rPr>
              <w:t>间质押式回购</w:t>
            </w:r>
            <w:proofErr w:type="gramEnd"/>
          </w:p>
        </w:tc>
        <w:tc>
          <w:tcPr>
            <w:tcW w:w="2052" w:type="dxa"/>
            <w:shd w:val="clear" w:color="000000" w:fill="FFFFFF"/>
            <w:vAlign w:val="center"/>
          </w:tcPr>
          <w:p w14:paraId="3AE54B68" w14:textId="0E4B65C1" w:rsidR="00117968" w:rsidRDefault="00117968">
            <w:pPr>
              <w:spacing w:beforeLines="20" w:before="48" w:afterLines="20" w:after="48"/>
              <w:jc w:val="center"/>
              <w:textAlignment w:val="center"/>
              <w:rPr>
                <w:rFonts w:ascii="方正仿宋简体" w:eastAsia="方正仿宋简体" w:hAnsi="方正仿宋简体" w:cs="方正仿宋简体"/>
                <w:sz w:val="24"/>
              </w:rPr>
            </w:pPr>
            <w:r w:rsidRPr="00117968">
              <w:rPr>
                <w:rFonts w:ascii="方正仿宋简体" w:eastAsia="方正仿宋简体" w:hAnsi="方正仿宋简体" w:cs="方正仿宋简体"/>
                <w:sz w:val="24"/>
              </w:rPr>
              <w:t>100,000,350.00</w:t>
            </w:r>
          </w:p>
        </w:tc>
        <w:tc>
          <w:tcPr>
            <w:tcW w:w="1807" w:type="dxa"/>
            <w:shd w:val="clear" w:color="000000" w:fill="FFFFFF"/>
            <w:vAlign w:val="center"/>
          </w:tcPr>
          <w:p w14:paraId="098AB91D" w14:textId="7741E439" w:rsidR="00117968" w:rsidRDefault="00117968">
            <w:pPr>
              <w:spacing w:beforeLines="20" w:before="48" w:afterLines="20" w:after="48"/>
              <w:jc w:val="center"/>
              <w:textAlignment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1</w:t>
            </w:r>
            <w:r>
              <w:rPr>
                <w:rFonts w:ascii="方正仿宋简体" w:eastAsia="方正仿宋简体" w:hAnsi="方正仿宋简体" w:cs="方正仿宋简体"/>
                <w:sz w:val="24"/>
              </w:rPr>
              <w:t>.92</w:t>
            </w:r>
          </w:p>
        </w:tc>
      </w:tr>
    </w:tbl>
    <w:p w14:paraId="5B44FB16" w14:textId="77777777" w:rsidR="00151CEF" w:rsidRDefault="00151CEF">
      <w:pPr>
        <w:spacing w:before="240" w:after="72" w:line="360" w:lineRule="auto"/>
        <w:rPr>
          <w:rFonts w:ascii="方正仿宋_GBK" w:eastAsia="方正仿宋_GBK" w:hAnsi="宋体" w:cs="宋体"/>
          <w:sz w:val="24"/>
          <w:szCs w:val="24"/>
          <w:shd w:val="clear" w:color="auto" w:fill="FFFFFF"/>
        </w:rPr>
      </w:pPr>
    </w:p>
    <w:p w14:paraId="00616E16"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4.3报告期末非标准化债权类资产明细</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383"/>
        <w:gridCol w:w="1271"/>
        <w:gridCol w:w="876"/>
      </w:tblGrid>
      <w:tr w:rsidR="00151CEF" w14:paraId="72E44606" w14:textId="77777777">
        <w:trPr>
          <w:trHeight w:val="1078"/>
          <w:jc w:val="center"/>
        </w:trPr>
        <w:tc>
          <w:tcPr>
            <w:tcW w:w="877" w:type="dxa"/>
            <w:vAlign w:val="center"/>
          </w:tcPr>
          <w:p w14:paraId="34C8F578"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14:paraId="1C7DCE4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14:paraId="215EEE7B"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14:paraId="51EFAE1D"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14:paraId="72F768A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14:paraId="18777C08"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14:paraId="3ADE07F6"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风险状况</w:t>
            </w:r>
          </w:p>
        </w:tc>
      </w:tr>
      <w:tr w:rsidR="005A53ED" w14:paraId="0C78A79A" w14:textId="77777777">
        <w:trPr>
          <w:trHeight w:val="571"/>
          <w:jc w:val="center"/>
        </w:trPr>
        <w:tc>
          <w:tcPr>
            <w:tcW w:w="877" w:type="dxa"/>
            <w:vAlign w:val="center"/>
          </w:tcPr>
          <w:p w14:paraId="3A5F5655"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04" w:type="dxa"/>
            <w:vAlign w:val="center"/>
          </w:tcPr>
          <w:p w14:paraId="767FC1F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14:paraId="1E41C8D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14:paraId="5CC300A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383" w:type="dxa"/>
            <w:vAlign w:val="center"/>
          </w:tcPr>
          <w:p w14:paraId="3FFDD081"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1" w:type="dxa"/>
            <w:vAlign w:val="center"/>
          </w:tcPr>
          <w:p w14:paraId="0734AEA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876" w:type="dxa"/>
            <w:vAlign w:val="center"/>
          </w:tcPr>
          <w:p w14:paraId="0B1DACBE"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0BC289BA" w14:textId="77777777" w:rsidR="00151CEF" w:rsidRDefault="00151CEF">
      <w:pPr>
        <w:spacing w:before="240" w:after="72" w:line="360" w:lineRule="auto"/>
        <w:rPr>
          <w:rFonts w:ascii="方正仿宋_GBK" w:eastAsia="方正仿宋_GBK" w:hAnsi="宋体" w:cs="宋体"/>
          <w:sz w:val="24"/>
          <w:szCs w:val="24"/>
          <w:shd w:val="clear" w:color="auto" w:fill="FFFFFF"/>
        </w:rPr>
      </w:pPr>
    </w:p>
    <w:p w14:paraId="412A62B0"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§5 投资账户信息</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46"/>
        <w:gridCol w:w="1417"/>
        <w:gridCol w:w="2668"/>
        <w:gridCol w:w="1983"/>
        <w:gridCol w:w="1988"/>
      </w:tblGrid>
      <w:tr w:rsidR="00151CEF" w14:paraId="043DF75B" w14:textId="77777777">
        <w:trPr>
          <w:trHeight w:val="584"/>
          <w:jc w:val="center"/>
        </w:trPr>
        <w:tc>
          <w:tcPr>
            <w:tcW w:w="846" w:type="dxa"/>
            <w:vAlign w:val="center"/>
          </w:tcPr>
          <w:p w14:paraId="1218C3A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14:paraId="5B1746C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14:paraId="2702D0A1"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14:paraId="320A7AE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14:paraId="571964D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开户单位</w:t>
            </w:r>
          </w:p>
        </w:tc>
      </w:tr>
      <w:tr w:rsidR="005A53ED" w14:paraId="73D5B8E6" w14:textId="77777777">
        <w:trPr>
          <w:trHeight w:val="584"/>
          <w:jc w:val="center"/>
        </w:trPr>
        <w:tc>
          <w:tcPr>
            <w:tcW w:w="846" w:type="dxa"/>
            <w:vAlign w:val="center"/>
          </w:tcPr>
          <w:p w14:paraId="58470578"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417" w:type="dxa"/>
            <w:vAlign w:val="center"/>
          </w:tcPr>
          <w:p w14:paraId="37A9BB4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托管账户</w:t>
            </w:r>
          </w:p>
        </w:tc>
        <w:tc>
          <w:tcPr>
            <w:tcW w:w="2668" w:type="dxa"/>
            <w:vAlign w:val="center"/>
          </w:tcPr>
          <w:p w14:paraId="0581DE0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0101000000001206</w:t>
            </w:r>
          </w:p>
        </w:tc>
        <w:tc>
          <w:tcPr>
            <w:tcW w:w="1983" w:type="dxa"/>
            <w:vAlign w:val="center"/>
          </w:tcPr>
          <w:p w14:paraId="62302AA1" w14:textId="77777777" w:rsidR="005A53ED" w:rsidRDefault="005D0101">
            <w:pPr>
              <w:spacing w:beforeLines="20" w:before="48" w:afterLines="20" w:after="48"/>
              <w:jc w:val="center"/>
              <w:textAlignment w:val="center"/>
              <w:rPr>
                <w:rFonts w:ascii="方正仿宋简体" w:eastAsia="方正仿宋简体"/>
                <w:sz w:val="24"/>
                <w:szCs w:val="24"/>
              </w:rPr>
            </w:pPr>
            <w:proofErr w:type="gramStart"/>
            <w:r>
              <w:rPr>
                <w:rFonts w:ascii="方正仿宋简体" w:eastAsia="方正仿宋简体" w:hAnsi="方正仿宋简体" w:cs="方正仿宋简体"/>
                <w:sz w:val="24"/>
              </w:rPr>
              <w:t>南京银行南京分行南银理财</w:t>
            </w:r>
            <w:proofErr w:type="gramEnd"/>
            <w:r>
              <w:rPr>
                <w:rFonts w:ascii="方正仿宋简体" w:eastAsia="方正仿宋简体" w:hAnsi="方正仿宋简体" w:cs="方正仿宋简体"/>
                <w:sz w:val="24"/>
              </w:rPr>
              <w:t>增瑞财富牛最低持有</w:t>
            </w:r>
            <w:r>
              <w:rPr>
                <w:rFonts w:ascii="方正仿宋简体" w:eastAsia="方正仿宋简体" w:hAnsi="方正仿宋简体" w:cs="方正仿宋简体"/>
                <w:sz w:val="24"/>
              </w:rPr>
              <w:t>120</w:t>
            </w:r>
            <w:r>
              <w:rPr>
                <w:rFonts w:ascii="方正仿宋简体" w:eastAsia="方正仿宋简体" w:hAnsi="方正仿宋简体" w:cs="方正仿宋简体"/>
                <w:sz w:val="24"/>
              </w:rPr>
              <w:t>天</w:t>
            </w:r>
            <w:r>
              <w:rPr>
                <w:rFonts w:ascii="方正仿宋简体" w:eastAsia="方正仿宋简体" w:hAnsi="方正仿宋简体" w:cs="方正仿宋简体"/>
                <w:sz w:val="24"/>
              </w:rPr>
              <w:t>1</w:t>
            </w:r>
            <w:r>
              <w:rPr>
                <w:rFonts w:ascii="方正仿宋简体" w:eastAsia="方正仿宋简体" w:hAnsi="方正仿宋简体" w:cs="方正仿宋简体"/>
                <w:sz w:val="24"/>
              </w:rPr>
              <w:t>号</w:t>
            </w:r>
          </w:p>
        </w:tc>
        <w:tc>
          <w:tcPr>
            <w:tcW w:w="1988" w:type="dxa"/>
            <w:vAlign w:val="center"/>
          </w:tcPr>
          <w:p w14:paraId="6CE04C22"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w:t>
            </w:r>
          </w:p>
        </w:tc>
      </w:tr>
    </w:tbl>
    <w:p w14:paraId="692335D4" w14:textId="77777777" w:rsidR="00151CEF" w:rsidRDefault="00151CEF">
      <w:pPr>
        <w:spacing w:afterLines="0" w:line="360" w:lineRule="auto"/>
        <w:rPr>
          <w:rFonts w:ascii="方正仿宋_GBK" w:eastAsia="方正仿宋_GBK"/>
          <w:sz w:val="24"/>
          <w:szCs w:val="24"/>
        </w:rPr>
      </w:pPr>
    </w:p>
    <w:p w14:paraId="06D503F9" w14:textId="77777777" w:rsidR="00151CEF" w:rsidRDefault="00151CEF">
      <w:pPr>
        <w:spacing w:before="240" w:after="72" w:line="360" w:lineRule="auto"/>
        <w:jc w:val="center"/>
        <w:rPr>
          <w:rFonts w:ascii="方正仿宋_GBK" w:eastAsia="方正仿宋_GBK"/>
          <w:b/>
          <w:sz w:val="24"/>
          <w:szCs w:val="24"/>
        </w:rPr>
      </w:pPr>
    </w:p>
    <w:p w14:paraId="350627E5"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§6 关联交易情况</w:t>
      </w:r>
    </w:p>
    <w:p w14:paraId="48355E1F" w14:textId="77777777"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w:t>
      </w:r>
      <w:proofErr w:type="gramStart"/>
      <w:r w:rsidR="003E5C34">
        <w:rPr>
          <w:rFonts w:ascii="方正仿宋简体" w:eastAsia="方正仿宋简体" w:hint="eastAsia"/>
          <w:b/>
          <w:sz w:val="24"/>
          <w:szCs w:val="24"/>
        </w:rPr>
        <w:t>方发行</w:t>
      </w:r>
      <w:proofErr w:type="gramEnd"/>
      <w:r w:rsidR="003E5C34">
        <w:rPr>
          <w:rFonts w:ascii="方正仿宋简体" w:eastAsia="方正仿宋简体" w:hint="eastAsia"/>
          <w:b/>
          <w:sz w:val="24"/>
          <w:szCs w:val="24"/>
        </w:rPr>
        <w:t>的证券</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151CEF" w14:paraId="0DD7FFB6" w14:textId="77777777">
        <w:trPr>
          <w:trHeight w:val="534"/>
          <w:jc w:val="center"/>
        </w:trPr>
        <w:tc>
          <w:tcPr>
            <w:tcW w:w="877" w:type="dxa"/>
            <w:vMerge w:val="restart"/>
            <w:vAlign w:val="center"/>
          </w:tcPr>
          <w:p w14:paraId="4268B49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45E5AD59"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1737FFA8"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14:paraId="5A579F1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14:paraId="6E7EB44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14:paraId="36E1B523" w14:textId="77777777">
        <w:trPr>
          <w:trHeight w:val="534"/>
          <w:jc w:val="center"/>
        </w:trPr>
        <w:tc>
          <w:tcPr>
            <w:tcW w:w="877" w:type="dxa"/>
            <w:vMerge/>
            <w:vAlign w:val="center"/>
          </w:tcPr>
          <w:p w14:paraId="3279A7D5" w14:textId="77777777" w:rsidR="00151CEF" w:rsidRDefault="00151CEF" w:rsidP="008B1379">
            <w:pPr>
              <w:spacing w:beforeLines="20" w:before="48" w:afterLines="20" w:after="48"/>
              <w:jc w:val="center"/>
            </w:pPr>
          </w:p>
        </w:tc>
        <w:tc>
          <w:tcPr>
            <w:tcW w:w="1704" w:type="dxa"/>
            <w:vMerge/>
            <w:vAlign w:val="center"/>
          </w:tcPr>
          <w:p w14:paraId="0028717F" w14:textId="77777777" w:rsidR="00151CEF" w:rsidRDefault="00151CEF" w:rsidP="008B1379">
            <w:pPr>
              <w:spacing w:beforeLines="20" w:before="48" w:afterLines="20" w:after="48"/>
              <w:jc w:val="center"/>
            </w:pPr>
          </w:p>
        </w:tc>
        <w:tc>
          <w:tcPr>
            <w:tcW w:w="1275" w:type="dxa"/>
            <w:vMerge/>
            <w:vAlign w:val="center"/>
          </w:tcPr>
          <w:p w14:paraId="2A96C3D2" w14:textId="77777777" w:rsidR="00151CEF" w:rsidRDefault="00151CEF" w:rsidP="008B1379">
            <w:pPr>
              <w:spacing w:beforeLines="20" w:before="48" w:afterLines="20" w:after="48"/>
              <w:jc w:val="center"/>
            </w:pPr>
          </w:p>
        </w:tc>
        <w:tc>
          <w:tcPr>
            <w:tcW w:w="1540" w:type="dxa"/>
            <w:vMerge/>
            <w:vAlign w:val="center"/>
          </w:tcPr>
          <w:p w14:paraId="74E308FB" w14:textId="77777777" w:rsidR="00151CEF" w:rsidRDefault="00151CEF" w:rsidP="008B1379">
            <w:pPr>
              <w:spacing w:beforeLines="20" w:before="48" w:afterLines="20" w:after="48"/>
              <w:jc w:val="center"/>
            </w:pPr>
          </w:p>
        </w:tc>
        <w:tc>
          <w:tcPr>
            <w:tcW w:w="1765" w:type="dxa"/>
            <w:vAlign w:val="center"/>
          </w:tcPr>
          <w:p w14:paraId="44DC8E87"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5C54A8E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5A53ED" w14:paraId="3C9B95D0" w14:textId="77777777">
        <w:trPr>
          <w:trHeight w:val="571"/>
          <w:jc w:val="center"/>
        </w:trPr>
        <w:tc>
          <w:tcPr>
            <w:tcW w:w="877" w:type="dxa"/>
            <w:vAlign w:val="center"/>
          </w:tcPr>
          <w:p w14:paraId="0BEED12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04" w:type="dxa"/>
            <w:vAlign w:val="center"/>
          </w:tcPr>
          <w:p w14:paraId="63DAFCBE"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14:paraId="631EDF9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14:paraId="327554A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5A3DD44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11065FF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37CF30AB" w14:textId="77777777"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151CEF" w14:paraId="53DF6478" w14:textId="77777777">
        <w:trPr>
          <w:trHeight w:val="534"/>
          <w:jc w:val="center"/>
        </w:trPr>
        <w:tc>
          <w:tcPr>
            <w:tcW w:w="877" w:type="dxa"/>
            <w:vMerge w:val="restart"/>
            <w:vAlign w:val="center"/>
          </w:tcPr>
          <w:p w14:paraId="228ADD6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445B69C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01F55F6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14:paraId="3D595B57"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14:paraId="2811F48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14:paraId="79C259BD" w14:textId="77777777">
        <w:trPr>
          <w:trHeight w:val="534"/>
          <w:jc w:val="center"/>
        </w:trPr>
        <w:tc>
          <w:tcPr>
            <w:tcW w:w="877" w:type="dxa"/>
            <w:vMerge/>
            <w:vAlign w:val="center"/>
          </w:tcPr>
          <w:p w14:paraId="3C1E1F9E" w14:textId="77777777" w:rsidR="00151CEF" w:rsidRDefault="00151CEF" w:rsidP="008B1379">
            <w:pPr>
              <w:spacing w:beforeLines="20" w:before="48" w:afterLines="20" w:after="48"/>
              <w:jc w:val="center"/>
            </w:pPr>
          </w:p>
        </w:tc>
        <w:tc>
          <w:tcPr>
            <w:tcW w:w="1704" w:type="dxa"/>
            <w:vMerge/>
            <w:vAlign w:val="center"/>
          </w:tcPr>
          <w:p w14:paraId="6AAFC9EF" w14:textId="77777777" w:rsidR="00151CEF" w:rsidRDefault="00151CEF" w:rsidP="008B1379">
            <w:pPr>
              <w:spacing w:beforeLines="20" w:before="48" w:afterLines="20" w:after="48"/>
              <w:jc w:val="center"/>
            </w:pPr>
          </w:p>
        </w:tc>
        <w:tc>
          <w:tcPr>
            <w:tcW w:w="1275" w:type="dxa"/>
            <w:vMerge/>
            <w:vAlign w:val="center"/>
          </w:tcPr>
          <w:p w14:paraId="74E2D859" w14:textId="77777777" w:rsidR="00151CEF" w:rsidRDefault="00151CEF" w:rsidP="008B1379">
            <w:pPr>
              <w:spacing w:beforeLines="20" w:before="48" w:afterLines="20" w:after="48"/>
              <w:jc w:val="center"/>
            </w:pPr>
          </w:p>
        </w:tc>
        <w:tc>
          <w:tcPr>
            <w:tcW w:w="1540" w:type="dxa"/>
            <w:vMerge/>
            <w:vAlign w:val="center"/>
          </w:tcPr>
          <w:p w14:paraId="3D92B835" w14:textId="77777777" w:rsidR="00151CEF" w:rsidRDefault="00151CEF" w:rsidP="008B1379">
            <w:pPr>
              <w:spacing w:beforeLines="20" w:before="48" w:afterLines="20" w:after="48"/>
              <w:jc w:val="center"/>
            </w:pPr>
          </w:p>
        </w:tc>
        <w:tc>
          <w:tcPr>
            <w:tcW w:w="1765" w:type="dxa"/>
            <w:vAlign w:val="center"/>
          </w:tcPr>
          <w:p w14:paraId="40B1960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77D677E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5A53ED" w14:paraId="4DCF3FBC" w14:textId="77777777">
        <w:trPr>
          <w:trHeight w:val="571"/>
          <w:jc w:val="center"/>
        </w:trPr>
        <w:tc>
          <w:tcPr>
            <w:tcW w:w="877" w:type="dxa"/>
            <w:vAlign w:val="center"/>
          </w:tcPr>
          <w:p w14:paraId="2FF9A7D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704" w:type="dxa"/>
            <w:vAlign w:val="center"/>
          </w:tcPr>
          <w:p w14:paraId="17A99B0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60AD624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proofErr w:type="gramStart"/>
            <w:r>
              <w:rPr>
                <w:rFonts w:ascii="方正仿宋简体" w:eastAsia="方正仿宋简体" w:hAnsi="方正仿宋简体" w:cs="方正仿宋简体"/>
                <w:sz w:val="24"/>
              </w:rPr>
              <w:t>淮安淮安</w:t>
            </w:r>
            <w:proofErr w:type="gramEnd"/>
            <w:r>
              <w:rPr>
                <w:rFonts w:ascii="方正仿宋简体" w:eastAsia="方正仿宋简体" w:hAnsi="方正仿宋简体" w:cs="方正仿宋简体"/>
                <w:sz w:val="24"/>
              </w:rPr>
              <w:t>PPN001</w:t>
            </w:r>
          </w:p>
        </w:tc>
        <w:tc>
          <w:tcPr>
            <w:tcW w:w="1540" w:type="dxa"/>
            <w:vAlign w:val="center"/>
          </w:tcPr>
          <w:p w14:paraId="769F94CE"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032601443</w:t>
            </w:r>
          </w:p>
        </w:tc>
        <w:tc>
          <w:tcPr>
            <w:tcW w:w="1765" w:type="dxa"/>
            <w:vAlign w:val="center"/>
          </w:tcPr>
          <w:p w14:paraId="631C955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200000.00</w:t>
            </w:r>
          </w:p>
        </w:tc>
        <w:tc>
          <w:tcPr>
            <w:tcW w:w="1765" w:type="dxa"/>
            <w:vAlign w:val="center"/>
          </w:tcPr>
          <w:p w14:paraId="5A997FF8"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20001084.93</w:t>
            </w:r>
          </w:p>
        </w:tc>
      </w:tr>
      <w:tr w:rsidR="005A53ED" w14:paraId="74B6B58E" w14:textId="77777777">
        <w:trPr>
          <w:trHeight w:val="571"/>
          <w:jc w:val="center"/>
        </w:trPr>
        <w:tc>
          <w:tcPr>
            <w:tcW w:w="877" w:type="dxa"/>
            <w:vAlign w:val="center"/>
          </w:tcPr>
          <w:p w14:paraId="22CCE5B1"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1704" w:type="dxa"/>
            <w:vAlign w:val="center"/>
          </w:tcPr>
          <w:p w14:paraId="29947B56"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404C6962"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r>
              <w:rPr>
                <w:rFonts w:ascii="方正仿宋简体" w:eastAsia="方正仿宋简体" w:hAnsi="方正仿宋简体" w:cs="方正仿宋简体"/>
                <w:sz w:val="24"/>
              </w:rPr>
              <w:t>苏澳租赁</w:t>
            </w:r>
            <w:r>
              <w:rPr>
                <w:rFonts w:ascii="方正仿宋简体" w:eastAsia="方正仿宋简体" w:hAnsi="方正仿宋简体" w:cs="方正仿宋简体"/>
                <w:sz w:val="24"/>
              </w:rPr>
              <w:t>PPN001</w:t>
            </w:r>
          </w:p>
        </w:tc>
        <w:tc>
          <w:tcPr>
            <w:tcW w:w="1540" w:type="dxa"/>
            <w:vAlign w:val="center"/>
          </w:tcPr>
          <w:p w14:paraId="4E73B7F5"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032680030</w:t>
            </w:r>
          </w:p>
        </w:tc>
        <w:tc>
          <w:tcPr>
            <w:tcW w:w="1765" w:type="dxa"/>
            <w:vAlign w:val="center"/>
          </w:tcPr>
          <w:p w14:paraId="4865064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300000.00</w:t>
            </w:r>
          </w:p>
        </w:tc>
        <w:tc>
          <w:tcPr>
            <w:tcW w:w="1765" w:type="dxa"/>
            <w:vAlign w:val="center"/>
          </w:tcPr>
          <w:p w14:paraId="66AF78B5"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30001873.97</w:t>
            </w:r>
          </w:p>
        </w:tc>
      </w:tr>
      <w:tr w:rsidR="005A53ED" w14:paraId="3608C7C7" w14:textId="77777777">
        <w:trPr>
          <w:trHeight w:val="571"/>
          <w:jc w:val="center"/>
        </w:trPr>
        <w:tc>
          <w:tcPr>
            <w:tcW w:w="877" w:type="dxa"/>
            <w:vAlign w:val="center"/>
          </w:tcPr>
          <w:p w14:paraId="206007D1"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lastRenderedPageBreak/>
              <w:t>3</w:t>
            </w:r>
          </w:p>
        </w:tc>
        <w:tc>
          <w:tcPr>
            <w:tcW w:w="1704" w:type="dxa"/>
            <w:vAlign w:val="center"/>
          </w:tcPr>
          <w:p w14:paraId="1F18A0E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0EE0F4A4"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r>
              <w:rPr>
                <w:rFonts w:ascii="方正仿宋简体" w:eastAsia="方正仿宋简体" w:hAnsi="方正仿宋简体" w:cs="方正仿宋简体"/>
                <w:sz w:val="24"/>
              </w:rPr>
              <w:t>镇江旅游</w:t>
            </w:r>
            <w:r>
              <w:rPr>
                <w:rFonts w:ascii="方正仿宋简体" w:eastAsia="方正仿宋简体" w:hAnsi="方正仿宋简体" w:cs="方正仿宋简体"/>
                <w:sz w:val="24"/>
              </w:rPr>
              <w:t>CP001</w:t>
            </w:r>
          </w:p>
        </w:tc>
        <w:tc>
          <w:tcPr>
            <w:tcW w:w="1540" w:type="dxa"/>
            <w:vAlign w:val="center"/>
          </w:tcPr>
          <w:p w14:paraId="6715F8B0"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042680043</w:t>
            </w:r>
          </w:p>
        </w:tc>
        <w:tc>
          <w:tcPr>
            <w:tcW w:w="1765" w:type="dxa"/>
            <w:vAlign w:val="center"/>
          </w:tcPr>
          <w:p w14:paraId="50F27238"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300000.00</w:t>
            </w:r>
          </w:p>
        </w:tc>
        <w:tc>
          <w:tcPr>
            <w:tcW w:w="1765" w:type="dxa"/>
            <w:vAlign w:val="center"/>
          </w:tcPr>
          <w:p w14:paraId="0014B8F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30001602.74</w:t>
            </w:r>
          </w:p>
        </w:tc>
      </w:tr>
      <w:tr w:rsidR="005A53ED" w14:paraId="5C43D5AB" w14:textId="77777777">
        <w:trPr>
          <w:trHeight w:val="571"/>
          <w:jc w:val="center"/>
        </w:trPr>
        <w:tc>
          <w:tcPr>
            <w:tcW w:w="877" w:type="dxa"/>
            <w:vAlign w:val="center"/>
          </w:tcPr>
          <w:p w14:paraId="09E4F44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w:t>
            </w:r>
          </w:p>
        </w:tc>
        <w:tc>
          <w:tcPr>
            <w:tcW w:w="1704" w:type="dxa"/>
            <w:vAlign w:val="center"/>
          </w:tcPr>
          <w:p w14:paraId="2F7C779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55042130"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r>
              <w:rPr>
                <w:rFonts w:ascii="方正仿宋简体" w:eastAsia="方正仿宋简体" w:hAnsi="方正仿宋简体" w:cs="方正仿宋简体"/>
                <w:sz w:val="24"/>
              </w:rPr>
              <w:t>兴化交通</w:t>
            </w:r>
            <w:r>
              <w:rPr>
                <w:rFonts w:ascii="方正仿宋简体" w:eastAsia="方正仿宋简体" w:hAnsi="方正仿宋简体" w:cs="方正仿宋简体"/>
                <w:sz w:val="24"/>
              </w:rPr>
              <w:t>SCP001</w:t>
            </w:r>
          </w:p>
        </w:tc>
        <w:tc>
          <w:tcPr>
            <w:tcW w:w="1540" w:type="dxa"/>
            <w:vAlign w:val="center"/>
          </w:tcPr>
          <w:p w14:paraId="1A79FFA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012680002</w:t>
            </w:r>
          </w:p>
        </w:tc>
        <w:tc>
          <w:tcPr>
            <w:tcW w:w="1765" w:type="dxa"/>
            <w:vAlign w:val="center"/>
          </w:tcPr>
          <w:p w14:paraId="5551CC56"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200000.00</w:t>
            </w:r>
          </w:p>
        </w:tc>
        <w:tc>
          <w:tcPr>
            <w:tcW w:w="1765" w:type="dxa"/>
            <w:vAlign w:val="center"/>
          </w:tcPr>
          <w:p w14:paraId="3E18E632"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20001095.89</w:t>
            </w:r>
          </w:p>
        </w:tc>
      </w:tr>
      <w:tr w:rsidR="005A53ED" w14:paraId="0BEC6304" w14:textId="77777777">
        <w:trPr>
          <w:trHeight w:val="571"/>
          <w:jc w:val="center"/>
        </w:trPr>
        <w:tc>
          <w:tcPr>
            <w:tcW w:w="877" w:type="dxa"/>
            <w:vAlign w:val="center"/>
          </w:tcPr>
          <w:p w14:paraId="3168E23B"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w:t>
            </w:r>
          </w:p>
        </w:tc>
        <w:tc>
          <w:tcPr>
            <w:tcW w:w="1704" w:type="dxa"/>
            <w:vAlign w:val="center"/>
          </w:tcPr>
          <w:p w14:paraId="1FBBB47F"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7F08356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r>
              <w:rPr>
                <w:rFonts w:ascii="方正仿宋简体" w:eastAsia="方正仿宋简体" w:hAnsi="方正仿宋简体" w:cs="方正仿宋简体"/>
                <w:sz w:val="24"/>
              </w:rPr>
              <w:t>高邮交投</w:t>
            </w:r>
            <w:r>
              <w:rPr>
                <w:rFonts w:ascii="方正仿宋简体" w:eastAsia="方正仿宋简体" w:hAnsi="方正仿宋简体" w:cs="方正仿宋简体"/>
                <w:sz w:val="24"/>
              </w:rPr>
              <w:t>MTN001</w:t>
            </w:r>
          </w:p>
        </w:tc>
        <w:tc>
          <w:tcPr>
            <w:tcW w:w="1540" w:type="dxa"/>
            <w:vAlign w:val="center"/>
          </w:tcPr>
          <w:p w14:paraId="78F61612"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102680394</w:t>
            </w:r>
          </w:p>
        </w:tc>
        <w:tc>
          <w:tcPr>
            <w:tcW w:w="1765" w:type="dxa"/>
            <w:vAlign w:val="center"/>
          </w:tcPr>
          <w:p w14:paraId="13B9A668"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300000.00</w:t>
            </w:r>
          </w:p>
        </w:tc>
        <w:tc>
          <w:tcPr>
            <w:tcW w:w="1765" w:type="dxa"/>
            <w:vAlign w:val="center"/>
          </w:tcPr>
          <w:p w14:paraId="54318C9E"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30005276.71</w:t>
            </w:r>
          </w:p>
        </w:tc>
      </w:tr>
      <w:tr w:rsidR="005A53ED" w14:paraId="49451DA4" w14:textId="77777777">
        <w:trPr>
          <w:trHeight w:val="571"/>
          <w:jc w:val="center"/>
        </w:trPr>
        <w:tc>
          <w:tcPr>
            <w:tcW w:w="877" w:type="dxa"/>
            <w:vAlign w:val="center"/>
          </w:tcPr>
          <w:p w14:paraId="069F4D3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w:t>
            </w:r>
          </w:p>
        </w:tc>
        <w:tc>
          <w:tcPr>
            <w:tcW w:w="1704" w:type="dxa"/>
            <w:vAlign w:val="center"/>
          </w:tcPr>
          <w:p w14:paraId="2862431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5CB4E32F"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r>
              <w:rPr>
                <w:rFonts w:ascii="方正仿宋简体" w:eastAsia="方正仿宋简体" w:hAnsi="方正仿宋简体" w:cs="方正仿宋简体"/>
                <w:sz w:val="24"/>
              </w:rPr>
              <w:t>宝应城投</w:t>
            </w:r>
            <w:r>
              <w:rPr>
                <w:rFonts w:ascii="方正仿宋简体" w:eastAsia="方正仿宋简体" w:hAnsi="方正仿宋简体" w:cs="方正仿宋简体"/>
                <w:sz w:val="24"/>
              </w:rPr>
              <w:t>PPN002</w:t>
            </w:r>
          </w:p>
        </w:tc>
        <w:tc>
          <w:tcPr>
            <w:tcW w:w="1540" w:type="dxa"/>
            <w:vAlign w:val="center"/>
          </w:tcPr>
          <w:p w14:paraId="227C5865"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032680088</w:t>
            </w:r>
          </w:p>
        </w:tc>
        <w:tc>
          <w:tcPr>
            <w:tcW w:w="1765" w:type="dxa"/>
            <w:vAlign w:val="center"/>
          </w:tcPr>
          <w:p w14:paraId="1757D7C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200000.00</w:t>
            </w:r>
          </w:p>
        </w:tc>
        <w:tc>
          <w:tcPr>
            <w:tcW w:w="1765" w:type="dxa"/>
            <w:vAlign w:val="center"/>
          </w:tcPr>
          <w:p w14:paraId="1FFD08BE"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20001030.14</w:t>
            </w:r>
          </w:p>
        </w:tc>
      </w:tr>
      <w:tr w:rsidR="005A53ED" w14:paraId="3A079BE5" w14:textId="77777777">
        <w:trPr>
          <w:trHeight w:val="571"/>
          <w:jc w:val="center"/>
        </w:trPr>
        <w:tc>
          <w:tcPr>
            <w:tcW w:w="877" w:type="dxa"/>
            <w:vAlign w:val="center"/>
          </w:tcPr>
          <w:p w14:paraId="7B8EF464"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w:t>
            </w:r>
          </w:p>
        </w:tc>
        <w:tc>
          <w:tcPr>
            <w:tcW w:w="1704" w:type="dxa"/>
            <w:vAlign w:val="center"/>
          </w:tcPr>
          <w:p w14:paraId="36429C0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3468DAE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r>
              <w:rPr>
                <w:rFonts w:ascii="方正仿宋简体" w:eastAsia="方正仿宋简体" w:hAnsi="方正仿宋简体" w:cs="方正仿宋简体"/>
                <w:sz w:val="24"/>
              </w:rPr>
              <w:t>宝应城投</w:t>
            </w:r>
            <w:r>
              <w:rPr>
                <w:rFonts w:ascii="方正仿宋简体" w:eastAsia="方正仿宋简体" w:hAnsi="方正仿宋简体" w:cs="方正仿宋简体"/>
                <w:sz w:val="24"/>
              </w:rPr>
              <w:t>PPN001</w:t>
            </w:r>
          </w:p>
        </w:tc>
        <w:tc>
          <w:tcPr>
            <w:tcW w:w="1540" w:type="dxa"/>
            <w:vAlign w:val="center"/>
          </w:tcPr>
          <w:p w14:paraId="35A30E16"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032680070</w:t>
            </w:r>
          </w:p>
        </w:tc>
        <w:tc>
          <w:tcPr>
            <w:tcW w:w="1765" w:type="dxa"/>
            <w:vAlign w:val="center"/>
          </w:tcPr>
          <w:p w14:paraId="4B603BFB"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100000.00</w:t>
            </w:r>
          </w:p>
        </w:tc>
        <w:tc>
          <w:tcPr>
            <w:tcW w:w="1765" w:type="dxa"/>
            <w:vAlign w:val="center"/>
          </w:tcPr>
          <w:p w14:paraId="45E9EBCB"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10000528.77</w:t>
            </w:r>
          </w:p>
        </w:tc>
      </w:tr>
      <w:tr w:rsidR="005A53ED" w14:paraId="4640A818" w14:textId="77777777">
        <w:trPr>
          <w:trHeight w:val="571"/>
          <w:jc w:val="center"/>
        </w:trPr>
        <w:tc>
          <w:tcPr>
            <w:tcW w:w="877" w:type="dxa"/>
            <w:vAlign w:val="center"/>
          </w:tcPr>
          <w:p w14:paraId="50F46F2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w:t>
            </w:r>
          </w:p>
        </w:tc>
        <w:tc>
          <w:tcPr>
            <w:tcW w:w="1704" w:type="dxa"/>
            <w:vAlign w:val="center"/>
          </w:tcPr>
          <w:p w14:paraId="4C598954"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21F64B0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r>
              <w:rPr>
                <w:rFonts w:ascii="方正仿宋简体" w:eastAsia="方正仿宋简体" w:hAnsi="方正仿宋简体" w:cs="方正仿宋简体"/>
                <w:sz w:val="24"/>
              </w:rPr>
              <w:t>宿迁新城</w:t>
            </w:r>
            <w:r>
              <w:rPr>
                <w:rFonts w:ascii="方正仿宋简体" w:eastAsia="方正仿宋简体" w:hAnsi="方正仿宋简体" w:cs="方正仿宋简体"/>
                <w:sz w:val="24"/>
              </w:rPr>
              <w:t>SCP001</w:t>
            </w:r>
          </w:p>
        </w:tc>
        <w:tc>
          <w:tcPr>
            <w:tcW w:w="1540" w:type="dxa"/>
            <w:vAlign w:val="center"/>
          </w:tcPr>
          <w:p w14:paraId="00A8705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012680315</w:t>
            </w:r>
          </w:p>
        </w:tc>
        <w:tc>
          <w:tcPr>
            <w:tcW w:w="1765" w:type="dxa"/>
            <w:vAlign w:val="center"/>
          </w:tcPr>
          <w:p w14:paraId="58EB2AB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500000.00</w:t>
            </w:r>
          </w:p>
        </w:tc>
        <w:tc>
          <w:tcPr>
            <w:tcW w:w="1765" w:type="dxa"/>
            <w:vAlign w:val="center"/>
          </w:tcPr>
          <w:p w14:paraId="50D2E8F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50002397.26</w:t>
            </w:r>
          </w:p>
        </w:tc>
      </w:tr>
    </w:tbl>
    <w:p w14:paraId="397D826D" w14:textId="77777777"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.3产品投资于关联</w:t>
      </w:r>
      <w:proofErr w:type="gramStart"/>
      <w:r w:rsidR="003E5C34">
        <w:rPr>
          <w:rFonts w:ascii="方正仿宋简体" w:eastAsia="方正仿宋简体" w:hint="eastAsia"/>
          <w:b/>
          <w:sz w:val="24"/>
          <w:szCs w:val="24"/>
        </w:rPr>
        <w:t>方发行</w:t>
      </w:r>
      <w:proofErr w:type="gramEnd"/>
      <w:r w:rsidR="003E5C34">
        <w:rPr>
          <w:rFonts w:ascii="方正仿宋简体" w:eastAsia="方正仿宋简体" w:hint="eastAsia"/>
          <w:b/>
          <w:sz w:val="24"/>
          <w:szCs w:val="24"/>
        </w:rPr>
        <w:t>的资产管理产品</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151CEF" w14:paraId="5876006D" w14:textId="77777777">
        <w:trPr>
          <w:trHeight w:val="534"/>
          <w:jc w:val="center"/>
        </w:trPr>
        <w:tc>
          <w:tcPr>
            <w:tcW w:w="877" w:type="dxa"/>
            <w:vMerge w:val="restart"/>
            <w:vAlign w:val="center"/>
          </w:tcPr>
          <w:p w14:paraId="1F01640B"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1367C8AD"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0F8A3DB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14:paraId="456D3C3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14:paraId="0AAAE092"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报告期内买入资产管理产品</w:t>
            </w:r>
          </w:p>
        </w:tc>
      </w:tr>
      <w:tr w:rsidR="00151CEF" w14:paraId="635B32C9" w14:textId="77777777">
        <w:trPr>
          <w:trHeight w:val="534"/>
          <w:jc w:val="center"/>
        </w:trPr>
        <w:tc>
          <w:tcPr>
            <w:tcW w:w="877" w:type="dxa"/>
            <w:vMerge/>
            <w:vAlign w:val="center"/>
          </w:tcPr>
          <w:p w14:paraId="41FB4910" w14:textId="77777777" w:rsidR="00151CEF" w:rsidRDefault="00151CEF" w:rsidP="008B1379">
            <w:pPr>
              <w:spacing w:beforeLines="20" w:before="48" w:afterLines="20" w:after="48"/>
              <w:jc w:val="center"/>
            </w:pPr>
          </w:p>
        </w:tc>
        <w:tc>
          <w:tcPr>
            <w:tcW w:w="1704" w:type="dxa"/>
            <w:vMerge/>
            <w:vAlign w:val="center"/>
          </w:tcPr>
          <w:p w14:paraId="602EC121" w14:textId="77777777" w:rsidR="00151CEF" w:rsidRDefault="00151CEF" w:rsidP="008B1379">
            <w:pPr>
              <w:spacing w:beforeLines="20" w:before="48" w:afterLines="20" w:after="48"/>
              <w:jc w:val="center"/>
            </w:pPr>
          </w:p>
        </w:tc>
        <w:tc>
          <w:tcPr>
            <w:tcW w:w="1275" w:type="dxa"/>
            <w:vMerge/>
            <w:vAlign w:val="center"/>
          </w:tcPr>
          <w:p w14:paraId="7CB3F26A" w14:textId="77777777" w:rsidR="00151CEF" w:rsidRDefault="00151CEF" w:rsidP="008B1379">
            <w:pPr>
              <w:spacing w:beforeLines="20" w:before="48" w:afterLines="20" w:after="48"/>
              <w:jc w:val="center"/>
            </w:pPr>
          </w:p>
        </w:tc>
        <w:tc>
          <w:tcPr>
            <w:tcW w:w="1540" w:type="dxa"/>
            <w:vMerge/>
            <w:vAlign w:val="center"/>
          </w:tcPr>
          <w:p w14:paraId="1E67CE23" w14:textId="77777777" w:rsidR="00151CEF" w:rsidRDefault="00151CEF" w:rsidP="008B1379">
            <w:pPr>
              <w:spacing w:beforeLines="20" w:before="48" w:afterLines="20" w:after="48"/>
              <w:jc w:val="center"/>
            </w:pPr>
          </w:p>
        </w:tc>
        <w:tc>
          <w:tcPr>
            <w:tcW w:w="1765" w:type="dxa"/>
            <w:vAlign w:val="center"/>
          </w:tcPr>
          <w:p w14:paraId="0F5BD17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5080416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5A53ED" w14:paraId="331E378E" w14:textId="77777777">
        <w:trPr>
          <w:trHeight w:val="571"/>
          <w:jc w:val="center"/>
        </w:trPr>
        <w:tc>
          <w:tcPr>
            <w:tcW w:w="877" w:type="dxa"/>
            <w:vAlign w:val="center"/>
          </w:tcPr>
          <w:p w14:paraId="3CB845B3"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04" w:type="dxa"/>
            <w:vAlign w:val="center"/>
          </w:tcPr>
          <w:p w14:paraId="0456C776"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14:paraId="102EAEC5"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14:paraId="69F3782E"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3C567AE4"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5CB5522C"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294606B3" w14:textId="77777777"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2117"/>
        <w:gridCol w:w="3090"/>
        <w:gridCol w:w="2842"/>
      </w:tblGrid>
      <w:tr w:rsidR="00151CEF" w14:paraId="79ABD0CE" w14:textId="77777777">
        <w:trPr>
          <w:trHeight w:val="1048"/>
          <w:jc w:val="center"/>
        </w:trPr>
        <w:tc>
          <w:tcPr>
            <w:tcW w:w="877" w:type="dxa"/>
            <w:vAlign w:val="center"/>
          </w:tcPr>
          <w:p w14:paraId="7E7BB8C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14:paraId="6B6C6329"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14:paraId="38251701"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14:paraId="01F045A1"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5A53ED" w14:paraId="75963216" w14:textId="77777777">
        <w:trPr>
          <w:trHeight w:val="571"/>
          <w:jc w:val="center"/>
        </w:trPr>
        <w:tc>
          <w:tcPr>
            <w:tcW w:w="877" w:type="dxa"/>
            <w:vAlign w:val="center"/>
          </w:tcPr>
          <w:p w14:paraId="4F766C31"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2117" w:type="dxa"/>
            <w:vAlign w:val="center"/>
          </w:tcPr>
          <w:p w14:paraId="0D21803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代销费</w:t>
            </w:r>
          </w:p>
        </w:tc>
        <w:tc>
          <w:tcPr>
            <w:tcW w:w="3090" w:type="dxa"/>
            <w:vAlign w:val="center"/>
          </w:tcPr>
          <w:p w14:paraId="5940DE2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28984B87"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3265809.63</w:t>
            </w:r>
          </w:p>
        </w:tc>
      </w:tr>
      <w:tr w:rsidR="005A53ED" w14:paraId="7BE206B3" w14:textId="77777777">
        <w:trPr>
          <w:trHeight w:val="571"/>
          <w:jc w:val="center"/>
        </w:trPr>
        <w:tc>
          <w:tcPr>
            <w:tcW w:w="877" w:type="dxa"/>
            <w:vAlign w:val="center"/>
          </w:tcPr>
          <w:p w14:paraId="1E0C711A"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2117" w:type="dxa"/>
            <w:vAlign w:val="center"/>
          </w:tcPr>
          <w:p w14:paraId="5E5BB6B4"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托管费</w:t>
            </w:r>
          </w:p>
        </w:tc>
        <w:tc>
          <w:tcPr>
            <w:tcW w:w="3090" w:type="dxa"/>
            <w:vAlign w:val="center"/>
          </w:tcPr>
          <w:p w14:paraId="7F7D036F"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79F9B6AD"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215282.73</w:t>
            </w:r>
          </w:p>
        </w:tc>
      </w:tr>
      <w:tr w:rsidR="005A53ED" w14:paraId="0055C96E" w14:textId="77777777">
        <w:trPr>
          <w:trHeight w:val="571"/>
          <w:jc w:val="center"/>
        </w:trPr>
        <w:tc>
          <w:tcPr>
            <w:tcW w:w="877" w:type="dxa"/>
            <w:vAlign w:val="center"/>
          </w:tcPr>
          <w:p w14:paraId="29280AF9"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lastRenderedPageBreak/>
              <w:t>3</w:t>
            </w:r>
          </w:p>
        </w:tc>
        <w:tc>
          <w:tcPr>
            <w:tcW w:w="2117" w:type="dxa"/>
            <w:vAlign w:val="center"/>
          </w:tcPr>
          <w:p w14:paraId="0039B55F"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其他服务费用</w:t>
            </w:r>
          </w:p>
        </w:tc>
        <w:tc>
          <w:tcPr>
            <w:tcW w:w="3090" w:type="dxa"/>
            <w:vAlign w:val="center"/>
          </w:tcPr>
          <w:p w14:paraId="40EFB8DB"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47937E01" w14:textId="77777777" w:rsidR="005A53ED" w:rsidRDefault="005D0101">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3000.00</w:t>
            </w:r>
          </w:p>
        </w:tc>
      </w:tr>
    </w:tbl>
    <w:p w14:paraId="761D2500" w14:textId="77777777" w:rsidR="00151CEF" w:rsidRDefault="00151CEF">
      <w:pPr>
        <w:spacing w:before="240" w:after="72" w:line="360" w:lineRule="auto"/>
        <w:rPr>
          <w:rFonts w:ascii="方正仿宋_GBK" w:eastAsia="方正仿宋_GBK" w:hAnsi="宋体" w:cs="宋体"/>
          <w:kern w:val="0"/>
          <w:sz w:val="24"/>
          <w:szCs w:val="24"/>
        </w:rPr>
      </w:pPr>
    </w:p>
    <w:p w14:paraId="57215900" w14:textId="77777777" w:rsidR="00151CEF" w:rsidRDefault="00151CEF">
      <w:pPr>
        <w:spacing w:before="240" w:after="72" w:line="360" w:lineRule="auto"/>
        <w:jc w:val="right"/>
        <w:rPr>
          <w:rFonts w:ascii="方正仿宋_GBK" w:eastAsia="方正仿宋_GBK"/>
          <w:b/>
          <w:sz w:val="24"/>
          <w:szCs w:val="24"/>
        </w:rPr>
      </w:pPr>
    </w:p>
    <w:p w14:paraId="356041B9" w14:textId="77777777" w:rsidR="00151CEF" w:rsidRDefault="003E5C34">
      <w:pPr>
        <w:spacing w:before="240" w:after="72" w:line="360" w:lineRule="auto"/>
        <w:jc w:val="right"/>
        <w:rPr>
          <w:rFonts w:ascii="方正仿宋简体" w:eastAsia="方正仿宋简体"/>
          <w:b/>
          <w:sz w:val="24"/>
          <w:szCs w:val="24"/>
        </w:rPr>
      </w:pPr>
      <w:proofErr w:type="gramStart"/>
      <w:r>
        <w:rPr>
          <w:rFonts w:ascii="方正仿宋简体" w:eastAsia="方正仿宋简体" w:hint="eastAsia"/>
          <w:b/>
          <w:sz w:val="24"/>
          <w:szCs w:val="24"/>
        </w:rPr>
        <w:t>南银理财</w:t>
      </w:r>
      <w:proofErr w:type="gramEnd"/>
      <w:r>
        <w:rPr>
          <w:rFonts w:ascii="方正仿宋简体" w:eastAsia="方正仿宋简体" w:hint="eastAsia"/>
          <w:b/>
          <w:sz w:val="24"/>
          <w:szCs w:val="24"/>
        </w:rPr>
        <w:t>有限责任公司</w:t>
      </w:r>
    </w:p>
    <w:p w14:paraId="48C61F30" w14:textId="77777777"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5436" w14:textId="77777777" w:rsidR="005D0101" w:rsidRDefault="005D0101" w:rsidP="008B1379">
      <w:pPr>
        <w:spacing w:after="72"/>
      </w:pPr>
      <w:r>
        <w:separator/>
      </w:r>
    </w:p>
  </w:endnote>
  <w:endnote w:type="continuationSeparator" w:id="0">
    <w:p w14:paraId="607AEBAC" w14:textId="77777777" w:rsidR="005D0101" w:rsidRDefault="005D0101" w:rsidP="008B1379">
      <w:pPr>
        <w:spacing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charset w:val="86"/>
    <w:family w:val="script"/>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cript"/>
    <w:pitch w:val="default"/>
    <w:sig w:usb0="00000000" w:usb1="080E0000" w:usb2="0000000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3230" w14:textId="77777777" w:rsidR="00151CEF" w:rsidRDefault="00151CEF">
    <w:pPr>
      <w:pStyle w:val="a3"/>
      <w:framePr w:wrap="around" w:vAnchor="text" w:hAnchor="margin" w:xAlign="center" w:y="1"/>
      <w:spacing w:after="72"/>
      <w:rPr>
        <w:rStyle w:val="a8"/>
      </w:rPr>
    </w:pPr>
    <w:r>
      <w:fldChar w:fldCharType="begin"/>
    </w:r>
    <w:r w:rsidR="003E5C34">
      <w:rPr>
        <w:rStyle w:val="a8"/>
      </w:rPr>
      <w:instrText xml:space="preserve">PAGE  </w:instrText>
    </w:r>
    <w:r>
      <w:fldChar w:fldCharType="end"/>
    </w:r>
  </w:p>
  <w:p w14:paraId="67E82AEF" w14:textId="77777777" w:rsidR="00151CEF" w:rsidRDefault="00151CEF">
    <w:pPr>
      <w:pStyle w:val="a3"/>
      <w:spacing w:after="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B7B6" w14:textId="77777777" w:rsidR="00151CEF" w:rsidRDefault="00151CEF">
    <w:pPr>
      <w:pStyle w:val="a3"/>
      <w:spacing w:after="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56DD" w14:textId="77777777" w:rsidR="00151CEF" w:rsidRDefault="00151CEF">
    <w:pPr>
      <w:pStyle w:val="a3"/>
      <w:spacing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471E" w14:textId="77777777" w:rsidR="005D0101" w:rsidRDefault="005D0101" w:rsidP="008B1379">
      <w:pPr>
        <w:spacing w:after="72"/>
      </w:pPr>
      <w:r>
        <w:separator/>
      </w:r>
    </w:p>
  </w:footnote>
  <w:footnote w:type="continuationSeparator" w:id="0">
    <w:p w14:paraId="219DEE0A" w14:textId="77777777" w:rsidR="005D0101" w:rsidRDefault="005D0101" w:rsidP="008B1379">
      <w:pPr>
        <w:spacing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768C" w14:textId="77777777" w:rsidR="00151CEF" w:rsidRDefault="00151CEF">
    <w:pPr>
      <w:pStyle w:val="a5"/>
      <w:spacing w:after="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7AA" w14:textId="77777777" w:rsidR="00151CEF" w:rsidRDefault="00151CEF">
    <w:pPr>
      <w:pStyle w:val="a5"/>
      <w:spacing w:after="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45BE" w14:textId="77777777" w:rsidR="00151CEF" w:rsidRDefault="00151CEF">
    <w:pPr>
      <w:pStyle w:val="a5"/>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17968"/>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53ED"/>
    <w:rsid w:val="005A7904"/>
    <w:rsid w:val="005B5E17"/>
    <w:rsid w:val="005C595B"/>
    <w:rsid w:val="005C763A"/>
    <w:rsid w:val="005D0101"/>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D8F1D"/>
  <w15:docId w15:val="{43088EA9-F67D-4BFB-A251-3F56F195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51CEF"/>
    <w:pPr>
      <w:tabs>
        <w:tab w:val="center" w:pos="4153"/>
        <w:tab w:val="right" w:pos="8306"/>
      </w:tabs>
      <w:snapToGrid w:val="0"/>
      <w:jc w:val="left"/>
    </w:pPr>
    <w:rPr>
      <w:rFonts w:eastAsiaTheme="minorEastAsia"/>
      <w:sz w:val="18"/>
      <w:szCs w:val="18"/>
    </w:rPr>
  </w:style>
  <w:style w:type="paragraph" w:styleId="a5">
    <w:name w:val="header"/>
    <w:basedOn w:val="a"/>
    <w:link w:val="a6"/>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8">
    <w:name w:val="page number"/>
    <w:basedOn w:val="a0"/>
    <w:uiPriority w:val="99"/>
    <w:unhideWhenUsed/>
    <w:qFormat/>
    <w:rsid w:val="00151CEF"/>
  </w:style>
  <w:style w:type="character" w:customStyle="1" w:styleId="a4">
    <w:name w:val="页脚 字符"/>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a6">
    <w:name w:val="页眉 字符"/>
    <w:basedOn w:val="a0"/>
    <w:link w:val="a5"/>
    <w:uiPriority w:val="99"/>
    <w:qFormat/>
    <w:rsid w:val="00151C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491</Words>
  <Characters>2801</Characters>
  <Application>Microsoft Office Word</Application>
  <DocSecurity>0</DocSecurity>
  <Lines>23</Lines>
  <Paragraphs>6</Paragraphs>
  <ScaleCrop>false</ScaleCrop>
  <Company>cc</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PC</cp:lastModifiedBy>
  <cp:revision>2</cp:revision>
  <dcterms:created xsi:type="dcterms:W3CDTF">2026-04-21T13:59:00Z</dcterms:created>
  <dcterms:modified xsi:type="dcterms:W3CDTF">2026-04-21T13:59:00Z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