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南银理财珠联璧合鑫逸稳半年155期封闭式公募人民币理财产品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南银理财珠联璧合鑫逸稳半年155期封闭式公募人民币理财产品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Z7003225000402</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2025年12月17日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343,095,230.00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兴业国际信托有限公司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Y70155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152,422,416.18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Y71155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123,887,126.06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Y72155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54,405,830.27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Y77155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301,908.68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Y79155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34,945.81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YB70155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8,126,482.49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YF70155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3,658,792.52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YG70155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2,302,475.75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1.0061</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  产品始终围绕稳健回报的收益目标进行操作，通过持有信用资质较好、绝对收益相对较高的信用债作为底仓，获取稳定可靠的票息收益。</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  本产品是封闭式产品，运作稳健，始终坚持谨慎的流动性管理原则，在报告期内，严格匹配资产久期与产品封闭周期。下阶段，产品将继续维持合理的流动性资产比例，做好负债端现金流的跟踪与研判。</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Y70155份额净值为1.0057元，Y71155份额净值为1.0060元，Y72155份额净值为1.0063元，Y77155份额净值为1.0060元，Y79155份额净值为1.0057元，YB70155份额净值为1.0064元，YF70155份额净值为1.0060元，YG70155份额净值为1.0061</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87.38%</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12.62%</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ZJQTT202511130001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兴业信托-兴南恒盈2号集合资金信托计划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343,934,387.99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99.65</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0101060000003815</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南银理财珠联璧合鑫逸稳半年155期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1807.54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江南农商行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1846.63</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昆山鹿城村镇银行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2.66</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257.12</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