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南银理财珠联璧合鑫逸稳半年157期封闭式公募人民币理财产品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南银理财珠联璧合鑫逸稳半年157期封闭式公募人民币理财产品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Z7003225000412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321,851,987.00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兴业国际信托有限公司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Y70157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179,389,303.87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Y71157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79,536,867.09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Y72157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55,420,527.48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Y77157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301,695.33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Y79157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708,570.09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YB70157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3,972,487.66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YF70157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2,356,243.90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YH70157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1,847,931.01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  产品始终围绕稳健回报的收益目标进行操作，通过持有信用资质较好、绝对收益相对较高的信用债作为底仓，获取稳定可靠的票息收益。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  本产品是封闭式产品，运作稳健，始终坚持谨慎的流动性管理原则，在报告期内，严格匹配资产久期与产品封闭周期。下阶段，产品将继续维持合理的流动性资产比例，做好负债端现金流的跟踪与研判。</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Y70157份额净值为1.0050元，Y71157份额净值为1.0053元，Y72157份额净值为1.0055元，Y77157份额净值为1.0053元，Y79157份额净值为1.0050元，YB70157份额净值为1.0056元，YF70157份额净值为1.0053元，YH70157份额净值为1.0055</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87.43%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12.57%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ZJQTT202511130001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兴业信托-兴南恒盈2号集合资金信托计划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321,215,470.65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99.28</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0101010000003974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南银理财珠联璧合鑫逸稳半年157期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江南农商行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81.76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昆山鹿城村镇银行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