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Z7003225000263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2025年08月06日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1,024,588,923.00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562,823,392.45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188,017,431.31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107,769,730.71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88,378,644.01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10,407,006.93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8,676,736.95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72,151,846.81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Y30233份额净值为1.0129元，Y31233份额净值为1.0135元，Y32233份额净值为1.0141元，Y35233份额净值为1.0131元，Y36233份额净值为1.0134元，YA30233份额净值为1.0137元，YB30233份额净值为1.0144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90.76%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9.24%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308,069,831.99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XTDKX202509020001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外贸信托臻璟系列集合资金信托计划47期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202,872,578.00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179,958,110.81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17.33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121,587,379.19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102,765,660.23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101,901,323.70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19,861,455.16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外贸信托臻璟系列集合资金信托计划47期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0101090000001669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84978533.47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136537.30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3139.17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