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南银理财珠联璧合鑫逸稳两年141期封闭式公募人民币理财产品（Y60141）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Y60141)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95,189,094.10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