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南银理财珠联璧合鑫逸稳一年208期封闭式公募人民币理财产品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南银理财珠联璧合鑫逸稳一年208期封闭式公募人民币理财产品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ZZ700322500039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Z7003225000050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2025年03月12日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2026年04月15日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399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Y30208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1.0314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2.87%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31,495,351.35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Y31208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1.0325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2.97%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16,486,362.20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Y32208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1.0336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3.07%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7,696,335.68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Y34208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1.0336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3.07%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2,947,146.79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Y35208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1.0325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2.97%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8,299,545.54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Y36208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1.0335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3.07%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2,427,165.37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Y38208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1.0330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3.02%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8,150,788.18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531,817.83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5,003,774.11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4,619,467.13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4,015,842.77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17,048.38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2026年04月15日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