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南银理财珠联璧合鑫逸稳两年174期（绿色金融主题）封闭式公募人民币理财产品发行公告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南银理财珠联璧合鑫逸稳两年174期（绿色金融主题）封闭式公募人民币理财产品（产品登记编码：Z7003226000180）已于2026年06月23日结束募集，符合产品成立条件，</w:t>
      </w:r>
      <w:r>
        <w:rPr>
          <w:rFonts w:ascii="方正仿宋简体" w:eastAsia="方正仿宋简体"/>
          <w:sz w:val="32"/>
          <w:szCs w:val="32"/>
        </w:rPr>
        <w:t>于2026年06月24日</w:t>
      </w:r>
      <w:r>
        <w:rPr>
          <w:rFonts w:hint="eastAsia" w:ascii="方正仿宋简体" w:eastAsia="方正仿宋简体"/>
          <w:sz w:val="32"/>
          <w:szCs w:val="32"/>
        </w:rPr>
        <w:t>成立。该产品募集金额228,685,597.00元，理财资金将按产品说明书约定进行投资。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2026年06月25日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